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9877F" w14:textId="5685EDF7" w:rsidR="00622D5F" w:rsidRPr="009941CE" w:rsidRDefault="005B2F16" w:rsidP="00C13EB8">
      <w:pPr>
        <w:rPr>
          <w:i/>
          <w:highlight w:val="yellow"/>
        </w:rPr>
      </w:pPr>
      <w:bookmarkStart w:id="0" w:name="_Toc78268541"/>
      <w:r>
        <w:rPr>
          <w:i/>
        </w:rPr>
        <w:t xml:space="preserve"> </w:t>
      </w:r>
      <w:r w:rsidR="00622D5F" w:rsidRPr="009941CE">
        <w:rPr>
          <w:noProof/>
        </w:rPr>
        <w:drawing>
          <wp:inline distT="0" distB="0" distL="0" distR="0" wp14:anchorId="246B24D2" wp14:editId="3D7048E8">
            <wp:extent cx="5943600" cy="3367405"/>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3367405"/>
                    </a:xfrm>
                    <a:prstGeom prst="rect">
                      <a:avLst/>
                    </a:prstGeom>
                  </pic:spPr>
                </pic:pic>
              </a:graphicData>
            </a:graphic>
          </wp:inline>
        </w:drawing>
      </w:r>
      <w:bookmarkEnd w:id="0"/>
    </w:p>
    <w:p w14:paraId="30501391" w14:textId="77777777" w:rsidR="00622D5F" w:rsidRPr="009941CE" w:rsidRDefault="00622D5F" w:rsidP="00622D5F">
      <w:pPr>
        <w:jc w:val="center"/>
        <w:rPr>
          <w:b/>
          <w:bCs/>
          <w:sz w:val="36"/>
          <w:szCs w:val="36"/>
        </w:rPr>
      </w:pPr>
      <w:r w:rsidRPr="009941CE">
        <w:rPr>
          <w:b/>
          <w:bCs/>
          <w:sz w:val="36"/>
          <w:szCs w:val="36"/>
        </w:rPr>
        <w:t>Consolidated Annual Performance Evaluation Report</w:t>
      </w:r>
    </w:p>
    <w:p w14:paraId="0B0B620B" w14:textId="77777777" w:rsidR="00622D5F" w:rsidRPr="009941CE" w:rsidRDefault="00622D5F" w:rsidP="00622D5F">
      <w:pPr>
        <w:jc w:val="center"/>
        <w:rPr>
          <w:b/>
          <w:bCs/>
          <w:sz w:val="36"/>
          <w:szCs w:val="36"/>
        </w:rPr>
      </w:pPr>
      <w:r w:rsidRPr="009941CE">
        <w:rPr>
          <w:b/>
          <w:bCs/>
          <w:sz w:val="36"/>
          <w:szCs w:val="36"/>
        </w:rPr>
        <w:t>CAPER</w:t>
      </w:r>
    </w:p>
    <w:p w14:paraId="4EBCF498" w14:textId="6B645994" w:rsidR="00622D5F" w:rsidRPr="009941CE" w:rsidRDefault="00622D5F" w:rsidP="00622D5F">
      <w:pPr>
        <w:jc w:val="center"/>
        <w:rPr>
          <w:b/>
          <w:bCs/>
          <w:sz w:val="36"/>
          <w:szCs w:val="36"/>
        </w:rPr>
      </w:pPr>
      <w:r w:rsidRPr="009941CE">
        <w:rPr>
          <w:b/>
          <w:bCs/>
          <w:sz w:val="36"/>
          <w:szCs w:val="36"/>
        </w:rPr>
        <w:t xml:space="preserve">FY </w:t>
      </w:r>
      <w:r w:rsidR="00D90BBC">
        <w:rPr>
          <w:b/>
          <w:bCs/>
          <w:sz w:val="36"/>
          <w:szCs w:val="36"/>
        </w:rPr>
        <w:t>202</w:t>
      </w:r>
      <w:r w:rsidR="000033C6">
        <w:rPr>
          <w:b/>
          <w:bCs/>
          <w:sz w:val="36"/>
          <w:szCs w:val="36"/>
        </w:rPr>
        <w:t>3</w:t>
      </w:r>
      <w:r w:rsidR="00D90BBC">
        <w:rPr>
          <w:b/>
          <w:bCs/>
          <w:sz w:val="36"/>
          <w:szCs w:val="36"/>
        </w:rPr>
        <w:t>-202</w:t>
      </w:r>
      <w:r w:rsidR="000033C6">
        <w:rPr>
          <w:b/>
          <w:bCs/>
          <w:sz w:val="36"/>
          <w:szCs w:val="36"/>
        </w:rPr>
        <w:t>4</w:t>
      </w:r>
    </w:p>
    <w:p w14:paraId="420058B0" w14:textId="77777777" w:rsidR="00622D5F" w:rsidRPr="009941CE" w:rsidRDefault="00622D5F" w:rsidP="00622D5F">
      <w:pPr>
        <w:jc w:val="center"/>
        <w:rPr>
          <w:b/>
          <w:bCs/>
          <w:sz w:val="36"/>
          <w:szCs w:val="36"/>
        </w:rPr>
      </w:pPr>
      <w:r w:rsidRPr="009941CE">
        <w:rPr>
          <w:b/>
          <w:bCs/>
          <w:sz w:val="36"/>
          <w:szCs w:val="36"/>
        </w:rPr>
        <w:t>Community Development Department</w:t>
      </w:r>
    </w:p>
    <w:p w14:paraId="2257403D" w14:textId="77777777" w:rsidR="00622D5F" w:rsidRPr="009941CE" w:rsidRDefault="00622D5F" w:rsidP="00622D5F">
      <w:pPr>
        <w:jc w:val="center"/>
        <w:rPr>
          <w:b/>
          <w:bCs/>
          <w:sz w:val="36"/>
          <w:szCs w:val="36"/>
        </w:rPr>
      </w:pPr>
    </w:p>
    <w:p w14:paraId="08483802" w14:textId="77777777" w:rsidR="00622D5F" w:rsidRPr="009941CE" w:rsidRDefault="00622D5F" w:rsidP="00622D5F">
      <w:pPr>
        <w:jc w:val="center"/>
        <w:rPr>
          <w:b/>
          <w:bCs/>
          <w:sz w:val="36"/>
          <w:szCs w:val="36"/>
        </w:rPr>
      </w:pPr>
    </w:p>
    <w:p w14:paraId="55996204" w14:textId="77777777" w:rsidR="00622D5F" w:rsidRPr="009941CE" w:rsidRDefault="00622D5F" w:rsidP="00622D5F">
      <w:pPr>
        <w:jc w:val="center"/>
        <w:rPr>
          <w:b/>
          <w:bCs/>
          <w:sz w:val="36"/>
          <w:szCs w:val="36"/>
        </w:rPr>
      </w:pPr>
    </w:p>
    <w:p w14:paraId="7852239E" w14:textId="77777777" w:rsidR="00622D5F" w:rsidRPr="009941CE" w:rsidRDefault="00622D5F" w:rsidP="00622D5F">
      <w:pPr>
        <w:jc w:val="center"/>
        <w:rPr>
          <w:b/>
          <w:bCs/>
          <w:sz w:val="36"/>
          <w:szCs w:val="36"/>
        </w:rPr>
      </w:pPr>
    </w:p>
    <w:p w14:paraId="022D6162" w14:textId="77777777" w:rsidR="00622D5F" w:rsidRPr="009941CE" w:rsidRDefault="00622D5F" w:rsidP="00622D5F">
      <w:pPr>
        <w:jc w:val="center"/>
        <w:rPr>
          <w:b/>
          <w:bCs/>
          <w:sz w:val="36"/>
          <w:szCs w:val="36"/>
        </w:rPr>
      </w:pPr>
    </w:p>
    <w:p w14:paraId="21FD9F2E" w14:textId="77777777" w:rsidR="00622D5F" w:rsidRPr="009941CE" w:rsidRDefault="00622D5F" w:rsidP="00622D5F">
      <w:pPr>
        <w:spacing w:after="0" w:line="240" w:lineRule="auto"/>
        <w:rPr>
          <w:rFonts w:cs="Arial"/>
          <w:b/>
          <w:bCs/>
          <w:iCs/>
          <w:sz w:val="28"/>
          <w:szCs w:val="28"/>
          <w:highlight w:val="yellow"/>
        </w:rPr>
      </w:pPr>
      <w:r w:rsidRPr="009941CE">
        <w:rPr>
          <w:i/>
          <w:highlight w:val="yellow"/>
        </w:rPr>
        <w:br w:type="page"/>
      </w:r>
    </w:p>
    <w:sdt>
      <w:sdtPr>
        <w:rPr>
          <w:rFonts w:ascii="Calibri" w:eastAsia="Calibri" w:hAnsi="Calibri" w:cs="Times New Roman"/>
          <w:b/>
          <w:bCs/>
          <w:i/>
          <w:iCs/>
          <w:color w:val="auto"/>
          <w:sz w:val="22"/>
          <w:szCs w:val="22"/>
        </w:rPr>
        <w:id w:val="274609421"/>
        <w:docPartObj>
          <w:docPartGallery w:val="Table of Contents"/>
          <w:docPartUnique/>
        </w:docPartObj>
      </w:sdtPr>
      <w:sdtEndPr>
        <w:rPr>
          <w:rFonts w:ascii="Arial" w:hAnsi="Arial" w:cs="Arial"/>
          <w:sz w:val="28"/>
          <w:szCs w:val="28"/>
        </w:rPr>
      </w:sdtEndPr>
      <w:sdtContent>
        <w:p w14:paraId="19D0727F" w14:textId="77777777" w:rsidR="00622D5F" w:rsidRPr="009941CE" w:rsidRDefault="00622D5F" w:rsidP="00622D5F">
          <w:pPr>
            <w:pStyle w:val="TOCHeading"/>
            <w:jc w:val="center"/>
          </w:pPr>
          <w:r w:rsidRPr="009941CE">
            <w:t>Table of Contents</w:t>
          </w:r>
        </w:p>
        <w:p w14:paraId="49EF04D7" w14:textId="19B4FF5C" w:rsidR="007066FC" w:rsidRDefault="00622D5F">
          <w:pPr>
            <w:pStyle w:val="TOC2"/>
            <w:tabs>
              <w:tab w:val="right" w:leader="dot" w:pos="9350"/>
            </w:tabs>
            <w:rPr>
              <w:rFonts w:asciiTheme="minorHAnsi" w:eastAsiaTheme="minorEastAsia" w:hAnsiTheme="minorHAnsi" w:cstheme="minorBidi"/>
              <w:noProof/>
              <w:kern w:val="2"/>
              <w14:ligatures w14:val="standardContextual"/>
            </w:rPr>
          </w:pPr>
          <w:r w:rsidRPr="009941CE">
            <w:fldChar w:fldCharType="begin"/>
          </w:r>
          <w:r w:rsidRPr="009941CE">
            <w:instrText xml:space="preserve"> TOC \o "1-3" \h \z \u </w:instrText>
          </w:r>
          <w:r w:rsidRPr="009941CE">
            <w:fldChar w:fldCharType="separate"/>
          </w:r>
          <w:hyperlink w:anchor="_Toc142647846" w:history="1">
            <w:r w:rsidR="007066FC" w:rsidRPr="00E41BEB">
              <w:rPr>
                <w:rStyle w:val="Hyperlink"/>
                <w:noProof/>
              </w:rPr>
              <w:t>CR-05 - Goals and Outcomes</w:t>
            </w:r>
            <w:r w:rsidR="007066FC">
              <w:rPr>
                <w:noProof/>
                <w:webHidden/>
              </w:rPr>
              <w:tab/>
            </w:r>
            <w:r w:rsidR="007066FC">
              <w:rPr>
                <w:noProof/>
                <w:webHidden/>
              </w:rPr>
              <w:fldChar w:fldCharType="begin"/>
            </w:r>
            <w:r w:rsidR="007066FC">
              <w:rPr>
                <w:noProof/>
                <w:webHidden/>
              </w:rPr>
              <w:instrText xml:space="preserve"> PAGEREF _Toc142647846 \h </w:instrText>
            </w:r>
            <w:r w:rsidR="007066FC">
              <w:rPr>
                <w:noProof/>
                <w:webHidden/>
              </w:rPr>
            </w:r>
            <w:r w:rsidR="007066FC">
              <w:rPr>
                <w:noProof/>
                <w:webHidden/>
              </w:rPr>
              <w:fldChar w:fldCharType="separate"/>
            </w:r>
            <w:r w:rsidR="00F53C49">
              <w:rPr>
                <w:noProof/>
                <w:webHidden/>
              </w:rPr>
              <w:t>3</w:t>
            </w:r>
            <w:r w:rsidR="007066FC">
              <w:rPr>
                <w:noProof/>
                <w:webHidden/>
              </w:rPr>
              <w:fldChar w:fldCharType="end"/>
            </w:r>
          </w:hyperlink>
        </w:p>
        <w:p w14:paraId="71998A96" w14:textId="03CEEAD7"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47" w:history="1">
            <w:r w:rsidR="007066FC" w:rsidRPr="00E41BEB">
              <w:rPr>
                <w:rStyle w:val="Hyperlink"/>
                <w:noProof/>
              </w:rPr>
              <w:t>CR-10 - Racial and Ethnic composition of families assisted</w:t>
            </w:r>
            <w:r w:rsidR="007066FC">
              <w:rPr>
                <w:noProof/>
                <w:webHidden/>
              </w:rPr>
              <w:tab/>
            </w:r>
            <w:r w:rsidR="007066FC">
              <w:rPr>
                <w:noProof/>
                <w:webHidden/>
              </w:rPr>
              <w:fldChar w:fldCharType="begin"/>
            </w:r>
            <w:r w:rsidR="007066FC">
              <w:rPr>
                <w:noProof/>
                <w:webHidden/>
              </w:rPr>
              <w:instrText xml:space="preserve"> PAGEREF _Toc142647847 \h </w:instrText>
            </w:r>
            <w:r w:rsidR="007066FC">
              <w:rPr>
                <w:noProof/>
                <w:webHidden/>
              </w:rPr>
            </w:r>
            <w:r w:rsidR="007066FC">
              <w:rPr>
                <w:noProof/>
                <w:webHidden/>
              </w:rPr>
              <w:fldChar w:fldCharType="separate"/>
            </w:r>
            <w:r w:rsidR="00F53C49">
              <w:rPr>
                <w:noProof/>
                <w:webHidden/>
              </w:rPr>
              <w:t>6</w:t>
            </w:r>
            <w:r w:rsidR="007066FC">
              <w:rPr>
                <w:noProof/>
                <w:webHidden/>
              </w:rPr>
              <w:fldChar w:fldCharType="end"/>
            </w:r>
          </w:hyperlink>
        </w:p>
        <w:p w14:paraId="2A669E92" w14:textId="297EB680"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48" w:history="1">
            <w:r w:rsidR="007066FC" w:rsidRPr="00E41BEB">
              <w:rPr>
                <w:rStyle w:val="Hyperlink"/>
                <w:noProof/>
              </w:rPr>
              <w:t>CR-15 - Resources and Investments 91.520(a)</w:t>
            </w:r>
            <w:r w:rsidR="007066FC">
              <w:rPr>
                <w:noProof/>
                <w:webHidden/>
              </w:rPr>
              <w:tab/>
            </w:r>
            <w:r w:rsidR="007066FC">
              <w:rPr>
                <w:noProof/>
                <w:webHidden/>
              </w:rPr>
              <w:fldChar w:fldCharType="begin"/>
            </w:r>
            <w:r w:rsidR="007066FC">
              <w:rPr>
                <w:noProof/>
                <w:webHidden/>
              </w:rPr>
              <w:instrText xml:space="preserve"> PAGEREF _Toc142647848 \h </w:instrText>
            </w:r>
            <w:r w:rsidR="007066FC">
              <w:rPr>
                <w:noProof/>
                <w:webHidden/>
              </w:rPr>
            </w:r>
            <w:r w:rsidR="007066FC">
              <w:rPr>
                <w:noProof/>
                <w:webHidden/>
              </w:rPr>
              <w:fldChar w:fldCharType="separate"/>
            </w:r>
            <w:r w:rsidR="00F53C49">
              <w:rPr>
                <w:noProof/>
                <w:webHidden/>
              </w:rPr>
              <w:t>7</w:t>
            </w:r>
            <w:r w:rsidR="007066FC">
              <w:rPr>
                <w:noProof/>
                <w:webHidden/>
              </w:rPr>
              <w:fldChar w:fldCharType="end"/>
            </w:r>
          </w:hyperlink>
        </w:p>
        <w:p w14:paraId="3DDE071A" w14:textId="796754F4"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49" w:history="1">
            <w:r w:rsidR="007066FC" w:rsidRPr="00E41BEB">
              <w:rPr>
                <w:rStyle w:val="Hyperlink"/>
                <w:noProof/>
              </w:rPr>
              <w:t>CR-20 - Affordable Housing 91.520(b)</w:t>
            </w:r>
            <w:r w:rsidR="007066FC">
              <w:rPr>
                <w:noProof/>
                <w:webHidden/>
              </w:rPr>
              <w:tab/>
            </w:r>
            <w:r w:rsidR="007066FC">
              <w:rPr>
                <w:noProof/>
                <w:webHidden/>
              </w:rPr>
              <w:fldChar w:fldCharType="begin"/>
            </w:r>
            <w:r w:rsidR="007066FC">
              <w:rPr>
                <w:noProof/>
                <w:webHidden/>
              </w:rPr>
              <w:instrText xml:space="preserve"> PAGEREF _Toc142647849 \h </w:instrText>
            </w:r>
            <w:r w:rsidR="007066FC">
              <w:rPr>
                <w:noProof/>
                <w:webHidden/>
              </w:rPr>
            </w:r>
            <w:r w:rsidR="007066FC">
              <w:rPr>
                <w:noProof/>
                <w:webHidden/>
              </w:rPr>
              <w:fldChar w:fldCharType="separate"/>
            </w:r>
            <w:r w:rsidR="00F53C49">
              <w:rPr>
                <w:noProof/>
                <w:webHidden/>
              </w:rPr>
              <w:t>13</w:t>
            </w:r>
            <w:r w:rsidR="007066FC">
              <w:rPr>
                <w:noProof/>
                <w:webHidden/>
              </w:rPr>
              <w:fldChar w:fldCharType="end"/>
            </w:r>
          </w:hyperlink>
        </w:p>
        <w:p w14:paraId="09C355E7" w14:textId="4B8DAEED"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0" w:history="1">
            <w:r w:rsidR="007066FC" w:rsidRPr="00E41BEB">
              <w:rPr>
                <w:rStyle w:val="Hyperlink"/>
                <w:noProof/>
              </w:rPr>
              <w:t>CR-25 - Homeless and Other Special Needs 91.220(d, e); 91.320(d, e); 91.520(c)</w:t>
            </w:r>
            <w:r w:rsidR="007066FC">
              <w:rPr>
                <w:noProof/>
                <w:webHidden/>
              </w:rPr>
              <w:tab/>
            </w:r>
            <w:r w:rsidR="007066FC">
              <w:rPr>
                <w:noProof/>
                <w:webHidden/>
              </w:rPr>
              <w:fldChar w:fldCharType="begin"/>
            </w:r>
            <w:r w:rsidR="007066FC">
              <w:rPr>
                <w:noProof/>
                <w:webHidden/>
              </w:rPr>
              <w:instrText xml:space="preserve"> PAGEREF _Toc142647850 \h </w:instrText>
            </w:r>
            <w:r w:rsidR="007066FC">
              <w:rPr>
                <w:noProof/>
                <w:webHidden/>
              </w:rPr>
            </w:r>
            <w:r w:rsidR="007066FC">
              <w:rPr>
                <w:noProof/>
                <w:webHidden/>
              </w:rPr>
              <w:fldChar w:fldCharType="separate"/>
            </w:r>
            <w:r w:rsidR="00F53C49">
              <w:rPr>
                <w:noProof/>
                <w:webHidden/>
              </w:rPr>
              <w:t>16</w:t>
            </w:r>
            <w:r w:rsidR="007066FC">
              <w:rPr>
                <w:noProof/>
                <w:webHidden/>
              </w:rPr>
              <w:fldChar w:fldCharType="end"/>
            </w:r>
          </w:hyperlink>
        </w:p>
        <w:p w14:paraId="25C33026" w14:textId="624EA905"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1" w:history="1">
            <w:r w:rsidR="007066FC" w:rsidRPr="00E41BEB">
              <w:rPr>
                <w:rStyle w:val="Hyperlink"/>
                <w:noProof/>
              </w:rPr>
              <w:t>CR-30 - Public Housing 91.220(h); 91.320(j)</w:t>
            </w:r>
            <w:r w:rsidR="007066FC">
              <w:rPr>
                <w:noProof/>
                <w:webHidden/>
              </w:rPr>
              <w:tab/>
            </w:r>
            <w:r w:rsidR="007066FC">
              <w:rPr>
                <w:noProof/>
                <w:webHidden/>
              </w:rPr>
              <w:fldChar w:fldCharType="begin"/>
            </w:r>
            <w:r w:rsidR="007066FC">
              <w:rPr>
                <w:noProof/>
                <w:webHidden/>
              </w:rPr>
              <w:instrText xml:space="preserve"> PAGEREF _Toc142647851 \h </w:instrText>
            </w:r>
            <w:r w:rsidR="007066FC">
              <w:rPr>
                <w:noProof/>
                <w:webHidden/>
              </w:rPr>
            </w:r>
            <w:r w:rsidR="007066FC">
              <w:rPr>
                <w:noProof/>
                <w:webHidden/>
              </w:rPr>
              <w:fldChar w:fldCharType="separate"/>
            </w:r>
            <w:r w:rsidR="00F53C49">
              <w:rPr>
                <w:noProof/>
                <w:webHidden/>
              </w:rPr>
              <w:t>18</w:t>
            </w:r>
            <w:r w:rsidR="007066FC">
              <w:rPr>
                <w:noProof/>
                <w:webHidden/>
              </w:rPr>
              <w:fldChar w:fldCharType="end"/>
            </w:r>
          </w:hyperlink>
        </w:p>
        <w:p w14:paraId="4C1AE23E" w14:textId="09C58C26"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2" w:history="1">
            <w:r w:rsidR="007066FC" w:rsidRPr="00E41BEB">
              <w:rPr>
                <w:rStyle w:val="Hyperlink"/>
                <w:noProof/>
              </w:rPr>
              <w:t>CR-35 - Other Actions 91.220(j)-(k); 91.320(i)-(j)</w:t>
            </w:r>
            <w:r w:rsidR="007066FC">
              <w:rPr>
                <w:noProof/>
                <w:webHidden/>
              </w:rPr>
              <w:tab/>
            </w:r>
            <w:r w:rsidR="007066FC">
              <w:rPr>
                <w:noProof/>
                <w:webHidden/>
              </w:rPr>
              <w:fldChar w:fldCharType="begin"/>
            </w:r>
            <w:r w:rsidR="007066FC">
              <w:rPr>
                <w:noProof/>
                <w:webHidden/>
              </w:rPr>
              <w:instrText xml:space="preserve"> PAGEREF _Toc142647852 \h </w:instrText>
            </w:r>
            <w:r w:rsidR="007066FC">
              <w:rPr>
                <w:noProof/>
                <w:webHidden/>
              </w:rPr>
            </w:r>
            <w:r w:rsidR="007066FC">
              <w:rPr>
                <w:noProof/>
                <w:webHidden/>
              </w:rPr>
              <w:fldChar w:fldCharType="separate"/>
            </w:r>
            <w:r w:rsidR="00F53C49">
              <w:rPr>
                <w:noProof/>
                <w:webHidden/>
              </w:rPr>
              <w:t>19</w:t>
            </w:r>
            <w:r w:rsidR="007066FC">
              <w:rPr>
                <w:noProof/>
                <w:webHidden/>
              </w:rPr>
              <w:fldChar w:fldCharType="end"/>
            </w:r>
          </w:hyperlink>
        </w:p>
        <w:p w14:paraId="3E664675" w14:textId="076FCA15"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3" w:history="1">
            <w:r w:rsidR="007066FC" w:rsidRPr="00E41BEB">
              <w:rPr>
                <w:rStyle w:val="Hyperlink"/>
                <w:noProof/>
              </w:rPr>
              <w:t>CR-40 - Monitoring 91.220 and 91.230</w:t>
            </w:r>
            <w:r w:rsidR="007066FC">
              <w:rPr>
                <w:noProof/>
                <w:webHidden/>
              </w:rPr>
              <w:tab/>
            </w:r>
            <w:r w:rsidR="007066FC">
              <w:rPr>
                <w:noProof/>
                <w:webHidden/>
              </w:rPr>
              <w:fldChar w:fldCharType="begin"/>
            </w:r>
            <w:r w:rsidR="007066FC">
              <w:rPr>
                <w:noProof/>
                <w:webHidden/>
              </w:rPr>
              <w:instrText xml:space="preserve"> PAGEREF _Toc142647853 \h </w:instrText>
            </w:r>
            <w:r w:rsidR="007066FC">
              <w:rPr>
                <w:noProof/>
                <w:webHidden/>
              </w:rPr>
            </w:r>
            <w:r w:rsidR="007066FC">
              <w:rPr>
                <w:noProof/>
                <w:webHidden/>
              </w:rPr>
              <w:fldChar w:fldCharType="separate"/>
            </w:r>
            <w:r w:rsidR="00F53C49">
              <w:rPr>
                <w:noProof/>
                <w:webHidden/>
              </w:rPr>
              <w:t>22</w:t>
            </w:r>
            <w:r w:rsidR="007066FC">
              <w:rPr>
                <w:noProof/>
                <w:webHidden/>
              </w:rPr>
              <w:fldChar w:fldCharType="end"/>
            </w:r>
          </w:hyperlink>
        </w:p>
        <w:p w14:paraId="74A9B97D" w14:textId="51D70B63"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4" w:history="1">
            <w:r w:rsidR="007066FC" w:rsidRPr="00E41BEB">
              <w:rPr>
                <w:rStyle w:val="Hyperlink"/>
                <w:rFonts w:cs="Arial"/>
                <w:iCs/>
                <w:noProof/>
              </w:rPr>
              <w:t>CR-45 - CDBG 91.520(c)</w:t>
            </w:r>
            <w:r w:rsidR="007066FC">
              <w:rPr>
                <w:noProof/>
                <w:webHidden/>
              </w:rPr>
              <w:tab/>
            </w:r>
            <w:r w:rsidR="007066FC">
              <w:rPr>
                <w:noProof/>
                <w:webHidden/>
              </w:rPr>
              <w:fldChar w:fldCharType="begin"/>
            </w:r>
            <w:r w:rsidR="007066FC">
              <w:rPr>
                <w:noProof/>
                <w:webHidden/>
              </w:rPr>
              <w:instrText xml:space="preserve"> PAGEREF _Toc142647854 \h </w:instrText>
            </w:r>
            <w:r w:rsidR="007066FC">
              <w:rPr>
                <w:noProof/>
                <w:webHidden/>
              </w:rPr>
            </w:r>
            <w:r w:rsidR="007066FC">
              <w:rPr>
                <w:noProof/>
                <w:webHidden/>
              </w:rPr>
              <w:fldChar w:fldCharType="separate"/>
            </w:r>
            <w:r w:rsidR="00F53C49">
              <w:rPr>
                <w:noProof/>
                <w:webHidden/>
              </w:rPr>
              <w:t>24</w:t>
            </w:r>
            <w:r w:rsidR="007066FC">
              <w:rPr>
                <w:noProof/>
                <w:webHidden/>
              </w:rPr>
              <w:fldChar w:fldCharType="end"/>
            </w:r>
          </w:hyperlink>
        </w:p>
        <w:p w14:paraId="2E3DD916" w14:textId="590D1F51"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5" w:history="1">
            <w:r w:rsidR="007066FC" w:rsidRPr="00E41BEB">
              <w:rPr>
                <w:rStyle w:val="Hyperlink"/>
                <w:noProof/>
              </w:rPr>
              <w:t>CR-50 - HOME 91.520(d)</w:t>
            </w:r>
            <w:r w:rsidR="007066FC">
              <w:rPr>
                <w:noProof/>
                <w:webHidden/>
              </w:rPr>
              <w:tab/>
            </w:r>
            <w:r w:rsidR="007066FC">
              <w:rPr>
                <w:noProof/>
                <w:webHidden/>
              </w:rPr>
              <w:fldChar w:fldCharType="begin"/>
            </w:r>
            <w:r w:rsidR="007066FC">
              <w:rPr>
                <w:noProof/>
                <w:webHidden/>
              </w:rPr>
              <w:instrText xml:space="preserve"> PAGEREF _Toc142647855 \h </w:instrText>
            </w:r>
            <w:r w:rsidR="007066FC">
              <w:rPr>
                <w:noProof/>
                <w:webHidden/>
              </w:rPr>
            </w:r>
            <w:r w:rsidR="007066FC">
              <w:rPr>
                <w:noProof/>
                <w:webHidden/>
              </w:rPr>
              <w:fldChar w:fldCharType="separate"/>
            </w:r>
            <w:r w:rsidR="00F53C49">
              <w:rPr>
                <w:noProof/>
                <w:webHidden/>
              </w:rPr>
              <w:t>25</w:t>
            </w:r>
            <w:r w:rsidR="007066FC">
              <w:rPr>
                <w:noProof/>
                <w:webHidden/>
              </w:rPr>
              <w:fldChar w:fldCharType="end"/>
            </w:r>
          </w:hyperlink>
        </w:p>
        <w:p w14:paraId="15BDF165" w14:textId="7F3FC8C2" w:rsidR="007066FC" w:rsidRDefault="00B110FE">
          <w:pPr>
            <w:pStyle w:val="TOC2"/>
            <w:tabs>
              <w:tab w:val="right" w:leader="dot" w:pos="9350"/>
            </w:tabs>
            <w:rPr>
              <w:rFonts w:asciiTheme="minorHAnsi" w:eastAsiaTheme="minorEastAsia" w:hAnsiTheme="minorHAnsi" w:cstheme="minorBidi"/>
              <w:noProof/>
              <w:kern w:val="2"/>
              <w14:ligatures w14:val="standardContextual"/>
            </w:rPr>
          </w:pPr>
          <w:hyperlink w:anchor="_Toc142647856" w:history="1">
            <w:r w:rsidR="007066FC" w:rsidRPr="00E41BEB">
              <w:rPr>
                <w:rStyle w:val="Hyperlink"/>
                <w:noProof/>
              </w:rPr>
              <w:t>CR-58 – Section 3</w:t>
            </w:r>
            <w:r w:rsidR="007066FC">
              <w:rPr>
                <w:noProof/>
                <w:webHidden/>
              </w:rPr>
              <w:tab/>
            </w:r>
            <w:r w:rsidR="007066FC">
              <w:rPr>
                <w:noProof/>
                <w:webHidden/>
              </w:rPr>
              <w:fldChar w:fldCharType="begin"/>
            </w:r>
            <w:r w:rsidR="007066FC">
              <w:rPr>
                <w:noProof/>
                <w:webHidden/>
              </w:rPr>
              <w:instrText xml:space="preserve"> PAGEREF _Toc142647856 \h </w:instrText>
            </w:r>
            <w:r w:rsidR="007066FC">
              <w:rPr>
                <w:noProof/>
                <w:webHidden/>
              </w:rPr>
            </w:r>
            <w:r w:rsidR="007066FC">
              <w:rPr>
                <w:noProof/>
                <w:webHidden/>
              </w:rPr>
              <w:fldChar w:fldCharType="separate"/>
            </w:r>
            <w:r w:rsidR="00F53C49">
              <w:rPr>
                <w:noProof/>
                <w:webHidden/>
              </w:rPr>
              <w:t>27</w:t>
            </w:r>
            <w:r w:rsidR="007066FC">
              <w:rPr>
                <w:noProof/>
                <w:webHidden/>
              </w:rPr>
              <w:fldChar w:fldCharType="end"/>
            </w:r>
          </w:hyperlink>
        </w:p>
        <w:p w14:paraId="18CF804B" w14:textId="32E25F59" w:rsidR="00622D5F" w:rsidRPr="009941CE" w:rsidRDefault="00622D5F" w:rsidP="00622D5F">
          <w:pPr>
            <w:pStyle w:val="Heading2"/>
            <w:rPr>
              <w:rFonts w:ascii="Calibri" w:hAnsi="Calibri"/>
              <w:i w:val="0"/>
            </w:rPr>
          </w:pPr>
          <w:r w:rsidRPr="009941CE">
            <w:rPr>
              <w:b w:val="0"/>
              <w:bCs w:val="0"/>
            </w:rPr>
            <w:fldChar w:fldCharType="end"/>
          </w:r>
        </w:p>
      </w:sdtContent>
    </w:sdt>
    <w:p w14:paraId="16751FE6" w14:textId="26556A70" w:rsidR="00622D5F" w:rsidRPr="009941CE" w:rsidRDefault="00622D5F">
      <w:pPr>
        <w:spacing w:after="0" w:line="240" w:lineRule="auto"/>
        <w:rPr>
          <w:rFonts w:cs="Arial"/>
          <w:b/>
          <w:bCs/>
          <w:iCs/>
          <w:sz w:val="28"/>
          <w:szCs w:val="28"/>
        </w:rPr>
      </w:pPr>
      <w:r w:rsidRPr="009941CE">
        <w:rPr>
          <w:i/>
        </w:rPr>
        <w:br w:type="page"/>
      </w:r>
    </w:p>
    <w:p w14:paraId="6F16C17B" w14:textId="1C918A58" w:rsidR="00BE059B" w:rsidRPr="009941CE" w:rsidRDefault="00FB5456">
      <w:pPr>
        <w:pStyle w:val="Heading2"/>
        <w:rPr>
          <w:rFonts w:ascii="Calibri" w:hAnsi="Calibri"/>
          <w:i w:val="0"/>
        </w:rPr>
      </w:pPr>
      <w:bookmarkStart w:id="1" w:name="_Toc142647846"/>
      <w:r w:rsidRPr="009941CE">
        <w:rPr>
          <w:rFonts w:ascii="Calibri" w:hAnsi="Calibri"/>
          <w:i w:val="0"/>
        </w:rPr>
        <w:lastRenderedPageBreak/>
        <w:t>CR-05 - Goals and Outcomes</w:t>
      </w:r>
      <w:bookmarkEnd w:id="1"/>
    </w:p>
    <w:p w14:paraId="5709788E" w14:textId="77777777" w:rsidR="00BE059B" w:rsidRPr="009941CE" w:rsidRDefault="00FB5456">
      <w:pPr>
        <w:keepNext/>
        <w:widowControl w:val="0"/>
        <w:spacing w:after="0" w:line="240" w:lineRule="auto"/>
        <w:rPr>
          <w:b/>
          <w:sz w:val="28"/>
          <w:szCs w:val="28"/>
        </w:rPr>
      </w:pPr>
      <w:r w:rsidRPr="009941CE">
        <w:rPr>
          <w:b/>
          <w:sz w:val="24"/>
          <w:szCs w:val="24"/>
        </w:rPr>
        <w:t>Progress the jurisdiction has made in carrying out its strategic plan and its action plan.  91.520(a)</w:t>
      </w:r>
      <w:r w:rsidRPr="009941CE">
        <w:rPr>
          <w:b/>
          <w:sz w:val="28"/>
          <w:szCs w:val="28"/>
        </w:rPr>
        <w:t xml:space="preserve"> </w:t>
      </w:r>
    </w:p>
    <w:p w14:paraId="2D2E9F03" w14:textId="00537D35" w:rsidR="009F6816" w:rsidRPr="009941CE" w:rsidRDefault="009F6816" w:rsidP="009F6816">
      <w:pPr>
        <w:keepNext/>
        <w:widowControl w:val="0"/>
        <w:spacing w:after="0" w:line="240" w:lineRule="auto"/>
      </w:pPr>
      <w:r w:rsidRPr="009941CE">
        <w:t xml:space="preserve">For the </w:t>
      </w:r>
      <w:r w:rsidR="004860C2">
        <w:t>202</w:t>
      </w:r>
      <w:r w:rsidR="00767897">
        <w:t>3</w:t>
      </w:r>
      <w:r w:rsidR="004860C2">
        <w:t>-202</w:t>
      </w:r>
      <w:r w:rsidR="00767897">
        <w:t>4</w:t>
      </w:r>
      <w:r w:rsidRPr="009941CE">
        <w:t xml:space="preserve"> Program Year, the City of South Gate (City) received Community Development Block Grant Program (CDBG) funds and Home Investment Partnerships Program (HOME) funds to facilitate accomplishing the goals set by the U.S. Department of Housing and Urban Development (HUD). As part of the application and allocation process for these federal funds, the City must prepare and submit the Consolidated Annual Performance and Evaluation Report (CAPER). This report presents a summary of resources made available during the program year, accomplishments based on priorities established by the Consolidated Plan and documented in the </w:t>
      </w:r>
      <w:r w:rsidR="004860C2">
        <w:t>202</w:t>
      </w:r>
      <w:r w:rsidR="001019C3">
        <w:t>3</w:t>
      </w:r>
      <w:r w:rsidR="004860C2">
        <w:t>-202</w:t>
      </w:r>
      <w:r w:rsidR="001019C3">
        <w:t>4</w:t>
      </w:r>
      <w:r w:rsidR="004860C2" w:rsidRPr="009941CE">
        <w:t xml:space="preserve"> </w:t>
      </w:r>
      <w:r w:rsidRPr="009941CE">
        <w:t xml:space="preserve">Annual Action Plan, and an assessment of the City's annual performance toward meeting its five-year goals. </w:t>
      </w:r>
      <w:r w:rsidR="004860C2">
        <w:t xml:space="preserve"> </w:t>
      </w:r>
    </w:p>
    <w:p w14:paraId="733F6DF3" w14:textId="77777777" w:rsidR="009F6816" w:rsidRPr="009941CE" w:rsidRDefault="009F6816" w:rsidP="009F6816">
      <w:pPr>
        <w:keepNext/>
        <w:widowControl w:val="0"/>
        <w:spacing w:after="0" w:line="240" w:lineRule="auto"/>
      </w:pPr>
    </w:p>
    <w:p w14:paraId="6303212F" w14:textId="6A13F29B" w:rsidR="00BE059B" w:rsidRPr="009941CE" w:rsidRDefault="009F6816" w:rsidP="009F6816">
      <w:pPr>
        <w:keepNext/>
        <w:widowControl w:val="0"/>
        <w:spacing w:after="0" w:line="240" w:lineRule="auto"/>
      </w:pPr>
      <w:r w:rsidRPr="009941CE">
        <w:t>The City's mission is to enhance the quality of life for all its residents by maximizing the use of available resources to assure the availability of safe, decent, and affordable housing. This report reviews how the City achieved its housing goals by providing rehabilitation loans to South Gate homeowners using HOME funds. In addition, how the goals of the non-housing priorities of public service programs were met. All CDBG funds except for Planning/Administration, were used for activities that benefited low-and-moderate-income persons.</w:t>
      </w:r>
    </w:p>
    <w:p w14:paraId="1A4F0951" w14:textId="65252D35" w:rsidR="00205A80" w:rsidRPr="009941CE" w:rsidRDefault="00205A80" w:rsidP="009F6816">
      <w:pPr>
        <w:keepNext/>
        <w:widowControl w:val="0"/>
        <w:spacing w:after="0" w:line="240" w:lineRule="auto"/>
      </w:pPr>
    </w:p>
    <w:p w14:paraId="337FAD1F" w14:textId="75B32CE0" w:rsidR="00205A80" w:rsidRPr="009941CE" w:rsidRDefault="00205A80" w:rsidP="00A23BD2">
      <w:pPr>
        <w:spacing w:after="0" w:line="240" w:lineRule="auto"/>
        <w:sectPr w:rsidR="00205A80" w:rsidRPr="009941CE" w:rsidSect="00205A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39048D0" w14:textId="77777777" w:rsidR="009F6816" w:rsidRPr="009941CE" w:rsidRDefault="009F6816" w:rsidP="009F6816">
      <w:pPr>
        <w:keepNext/>
        <w:widowControl w:val="0"/>
        <w:spacing w:after="0" w:line="240" w:lineRule="auto"/>
        <w:rPr>
          <w:b/>
        </w:rPr>
      </w:pPr>
    </w:p>
    <w:p w14:paraId="3AC893AA" w14:textId="75CD9225" w:rsidR="00BE059B" w:rsidRPr="00D8319C" w:rsidRDefault="00FB5456" w:rsidP="00A23BD2">
      <w:pPr>
        <w:keepNext/>
        <w:widowControl w:val="0"/>
        <w:spacing w:after="0" w:line="240" w:lineRule="auto"/>
        <w:rPr>
          <w:b/>
          <w:sz w:val="24"/>
          <w:szCs w:val="24"/>
        </w:rPr>
      </w:pPr>
      <w:r w:rsidRPr="00D8319C">
        <w:rPr>
          <w:b/>
          <w:sz w:val="24"/>
          <w:szCs w:val="24"/>
        </w:rPr>
        <w:t>Comparison of the proposed versus actual outcomes for each outcome measure submitted with the consolidated plan and explain, if applicable, why progress was not made toward meeting goals and objectives.  91.520(g)</w:t>
      </w:r>
    </w:p>
    <w:tbl>
      <w:tblPr>
        <w:tblStyle w:val="TableGrid"/>
        <w:tblW w:w="13728" w:type="dxa"/>
        <w:tblInd w:w="0" w:type="dxa"/>
        <w:tblLook w:val="04A0" w:firstRow="1" w:lastRow="0" w:firstColumn="1" w:lastColumn="0" w:noHBand="0" w:noVBand="1"/>
      </w:tblPr>
      <w:tblGrid>
        <w:gridCol w:w="1549"/>
        <w:gridCol w:w="1549"/>
        <w:gridCol w:w="1193"/>
        <w:gridCol w:w="2310"/>
        <w:gridCol w:w="1260"/>
        <w:gridCol w:w="975"/>
        <w:gridCol w:w="948"/>
        <w:gridCol w:w="1020"/>
        <w:gridCol w:w="975"/>
        <w:gridCol w:w="929"/>
        <w:gridCol w:w="1020"/>
      </w:tblGrid>
      <w:tr w:rsidR="007C1CFA" w:rsidRPr="00D8319C" w14:paraId="79D57621" w14:textId="77777777" w:rsidTr="00C56F93">
        <w:tc>
          <w:tcPr>
            <w:tcW w:w="1549" w:type="dxa"/>
            <w:vAlign w:val="center"/>
          </w:tcPr>
          <w:p w14:paraId="3BD5BC78" w14:textId="77777777" w:rsidR="00BE059B" w:rsidRPr="00D8319C" w:rsidRDefault="00FB5456" w:rsidP="00205A80">
            <w:pPr>
              <w:keepNext/>
              <w:widowControl w:val="0"/>
              <w:spacing w:after="0" w:line="240" w:lineRule="auto"/>
              <w:jc w:val="center"/>
              <w:rPr>
                <w:b/>
              </w:rPr>
            </w:pPr>
            <w:r w:rsidRPr="00D8319C">
              <w:rPr>
                <w:b/>
              </w:rPr>
              <w:t>Goal</w:t>
            </w:r>
          </w:p>
        </w:tc>
        <w:tc>
          <w:tcPr>
            <w:tcW w:w="1549" w:type="dxa"/>
            <w:vAlign w:val="center"/>
          </w:tcPr>
          <w:p w14:paraId="11AC2E06" w14:textId="77777777" w:rsidR="00BE059B" w:rsidRPr="00D8319C" w:rsidRDefault="00FB5456" w:rsidP="00205A80">
            <w:pPr>
              <w:keepNext/>
              <w:widowControl w:val="0"/>
              <w:spacing w:after="0" w:line="240" w:lineRule="auto"/>
              <w:jc w:val="center"/>
              <w:rPr>
                <w:b/>
              </w:rPr>
            </w:pPr>
            <w:r w:rsidRPr="00D8319C">
              <w:rPr>
                <w:b/>
              </w:rPr>
              <w:t>Category</w:t>
            </w:r>
          </w:p>
        </w:tc>
        <w:tc>
          <w:tcPr>
            <w:tcW w:w="1295" w:type="dxa"/>
            <w:vAlign w:val="center"/>
          </w:tcPr>
          <w:p w14:paraId="156E5B46" w14:textId="77777777" w:rsidR="00BE059B" w:rsidRPr="00D8319C" w:rsidRDefault="00FB5456" w:rsidP="00205A80">
            <w:pPr>
              <w:keepNext/>
              <w:widowControl w:val="0"/>
              <w:spacing w:after="0" w:line="240" w:lineRule="auto"/>
              <w:jc w:val="center"/>
              <w:rPr>
                <w:b/>
              </w:rPr>
            </w:pPr>
            <w:r w:rsidRPr="00D8319C">
              <w:rPr>
                <w:b/>
              </w:rPr>
              <w:t>Source / Amount</w:t>
            </w:r>
          </w:p>
        </w:tc>
        <w:tc>
          <w:tcPr>
            <w:tcW w:w="2241" w:type="dxa"/>
            <w:vAlign w:val="center"/>
          </w:tcPr>
          <w:p w14:paraId="45B03DA8" w14:textId="77777777" w:rsidR="00BE059B" w:rsidRPr="00D8319C" w:rsidRDefault="00FB5456" w:rsidP="00205A80">
            <w:pPr>
              <w:keepNext/>
              <w:widowControl w:val="0"/>
              <w:spacing w:after="0" w:line="240" w:lineRule="auto"/>
              <w:jc w:val="center"/>
              <w:rPr>
                <w:b/>
              </w:rPr>
            </w:pPr>
            <w:r w:rsidRPr="00D8319C">
              <w:rPr>
                <w:b/>
              </w:rPr>
              <w:t>Indicator</w:t>
            </w:r>
          </w:p>
        </w:tc>
        <w:tc>
          <w:tcPr>
            <w:tcW w:w="1227" w:type="dxa"/>
            <w:vAlign w:val="center"/>
          </w:tcPr>
          <w:p w14:paraId="153A3CD6" w14:textId="77777777" w:rsidR="00BE059B" w:rsidRPr="00D8319C" w:rsidRDefault="00FB5456" w:rsidP="00205A80">
            <w:pPr>
              <w:keepNext/>
              <w:widowControl w:val="0"/>
              <w:spacing w:after="0" w:line="240" w:lineRule="auto"/>
              <w:jc w:val="center"/>
              <w:rPr>
                <w:b/>
              </w:rPr>
            </w:pPr>
            <w:r w:rsidRPr="00D8319C">
              <w:rPr>
                <w:b/>
              </w:rPr>
              <w:t>Unit of Measure</w:t>
            </w:r>
          </w:p>
        </w:tc>
        <w:tc>
          <w:tcPr>
            <w:tcW w:w="975" w:type="dxa"/>
            <w:vAlign w:val="center"/>
          </w:tcPr>
          <w:p w14:paraId="763C994F" w14:textId="77777777" w:rsidR="00BE059B" w:rsidRPr="00D8319C" w:rsidRDefault="00FB5456" w:rsidP="00205A80">
            <w:pPr>
              <w:keepNext/>
              <w:widowControl w:val="0"/>
              <w:spacing w:after="0" w:line="240" w:lineRule="auto"/>
              <w:jc w:val="center"/>
              <w:rPr>
                <w:b/>
              </w:rPr>
            </w:pPr>
            <w:r w:rsidRPr="00D8319C">
              <w:rPr>
                <w:b/>
              </w:rPr>
              <w:t>Expected – Strategic Plan</w:t>
            </w:r>
          </w:p>
        </w:tc>
        <w:tc>
          <w:tcPr>
            <w:tcW w:w="948" w:type="dxa"/>
            <w:vAlign w:val="center"/>
          </w:tcPr>
          <w:p w14:paraId="0DD2550D" w14:textId="77777777" w:rsidR="00BE059B" w:rsidRPr="00D8319C" w:rsidRDefault="00FB5456" w:rsidP="00205A80">
            <w:pPr>
              <w:keepNext/>
              <w:widowControl w:val="0"/>
              <w:spacing w:after="0" w:line="240" w:lineRule="auto"/>
              <w:jc w:val="center"/>
              <w:rPr>
                <w:b/>
              </w:rPr>
            </w:pPr>
            <w:r w:rsidRPr="00D8319C">
              <w:rPr>
                <w:b/>
              </w:rPr>
              <w:t>Actual – Strategic Plan</w:t>
            </w:r>
          </w:p>
        </w:tc>
        <w:tc>
          <w:tcPr>
            <w:tcW w:w="1020" w:type="dxa"/>
            <w:vAlign w:val="center"/>
          </w:tcPr>
          <w:p w14:paraId="5915962F" w14:textId="77777777" w:rsidR="00BE059B" w:rsidRPr="00D8319C" w:rsidRDefault="00FB5456" w:rsidP="00205A80">
            <w:pPr>
              <w:keepNext/>
              <w:widowControl w:val="0"/>
              <w:spacing w:after="0" w:line="240" w:lineRule="auto"/>
              <w:jc w:val="center"/>
              <w:rPr>
                <w:b/>
              </w:rPr>
            </w:pPr>
            <w:r w:rsidRPr="00D8319C">
              <w:rPr>
                <w:b/>
              </w:rPr>
              <w:t>Percent Complete</w:t>
            </w:r>
          </w:p>
        </w:tc>
        <w:tc>
          <w:tcPr>
            <w:tcW w:w="975" w:type="dxa"/>
            <w:vAlign w:val="center"/>
          </w:tcPr>
          <w:p w14:paraId="2C2F6756" w14:textId="77777777" w:rsidR="00BE059B" w:rsidRPr="00D8319C" w:rsidRDefault="00FB5456" w:rsidP="00205A80">
            <w:pPr>
              <w:keepNext/>
              <w:widowControl w:val="0"/>
              <w:spacing w:after="0" w:line="240" w:lineRule="auto"/>
              <w:jc w:val="center"/>
              <w:rPr>
                <w:b/>
              </w:rPr>
            </w:pPr>
            <w:r w:rsidRPr="00D8319C">
              <w:rPr>
                <w:b/>
              </w:rPr>
              <w:t>Expected – Program Year</w:t>
            </w:r>
          </w:p>
        </w:tc>
        <w:tc>
          <w:tcPr>
            <w:tcW w:w="929" w:type="dxa"/>
            <w:vAlign w:val="center"/>
          </w:tcPr>
          <w:p w14:paraId="319C150D" w14:textId="77777777" w:rsidR="00BE059B" w:rsidRPr="00D8319C" w:rsidRDefault="00FB5456" w:rsidP="00205A80">
            <w:pPr>
              <w:keepNext/>
              <w:widowControl w:val="0"/>
              <w:spacing w:after="0" w:line="240" w:lineRule="auto"/>
              <w:jc w:val="center"/>
              <w:rPr>
                <w:b/>
              </w:rPr>
            </w:pPr>
            <w:r w:rsidRPr="00D8319C">
              <w:rPr>
                <w:b/>
              </w:rPr>
              <w:t>Actual – Program Year</w:t>
            </w:r>
          </w:p>
        </w:tc>
        <w:tc>
          <w:tcPr>
            <w:tcW w:w="1020" w:type="dxa"/>
            <w:vAlign w:val="center"/>
          </w:tcPr>
          <w:p w14:paraId="4BE06026" w14:textId="77777777" w:rsidR="00BE059B" w:rsidRPr="00D8319C" w:rsidRDefault="00FB5456" w:rsidP="00205A80">
            <w:pPr>
              <w:keepNext/>
              <w:widowControl w:val="0"/>
              <w:spacing w:after="0" w:line="240" w:lineRule="auto"/>
              <w:jc w:val="center"/>
              <w:rPr>
                <w:b/>
              </w:rPr>
            </w:pPr>
            <w:r w:rsidRPr="00D8319C">
              <w:rPr>
                <w:b/>
              </w:rPr>
              <w:t>Percent Complete</w:t>
            </w:r>
          </w:p>
        </w:tc>
      </w:tr>
      <w:tr w:rsidR="002E0CED" w:rsidRPr="00767897" w14:paraId="255931AA" w14:textId="77777777" w:rsidTr="00F83260">
        <w:trPr>
          <w:cantSplit/>
        </w:trPr>
        <w:tc>
          <w:tcPr>
            <w:tcW w:w="1549" w:type="dxa"/>
            <w:vAlign w:val="center"/>
          </w:tcPr>
          <w:p w14:paraId="0D21D883" w14:textId="77777777" w:rsidR="00BE059B" w:rsidRPr="00F91DBE" w:rsidRDefault="00FB5456">
            <w:pPr>
              <w:spacing w:beforeAutospacing="1" w:afterAutospacing="1"/>
            </w:pPr>
            <w:r w:rsidRPr="00F91DBE">
              <w:rPr>
                <w:color w:val="000000"/>
                <w:sz w:val="22"/>
              </w:rPr>
              <w:t>Administration</w:t>
            </w:r>
          </w:p>
        </w:tc>
        <w:tc>
          <w:tcPr>
            <w:tcW w:w="1549" w:type="dxa"/>
            <w:vAlign w:val="center"/>
          </w:tcPr>
          <w:p w14:paraId="667BCB44" w14:textId="77777777" w:rsidR="00BE059B" w:rsidRPr="00F91DBE" w:rsidRDefault="00FB5456">
            <w:pPr>
              <w:spacing w:beforeAutospacing="1" w:afterAutospacing="1"/>
            </w:pPr>
            <w:r w:rsidRPr="00F91DBE">
              <w:rPr>
                <w:color w:val="000000"/>
                <w:sz w:val="22"/>
              </w:rPr>
              <w:t>Program Administration</w:t>
            </w:r>
          </w:p>
        </w:tc>
        <w:tc>
          <w:tcPr>
            <w:tcW w:w="0" w:type="auto"/>
            <w:vAlign w:val="center"/>
          </w:tcPr>
          <w:p w14:paraId="3631D9F4" w14:textId="6416283D" w:rsidR="00BE059B" w:rsidRPr="00F91DBE" w:rsidRDefault="00FB5456" w:rsidP="00476B5C">
            <w:pPr>
              <w:spacing w:beforeAutospacing="1" w:afterAutospacing="1"/>
              <w:jc w:val="center"/>
              <w:rPr>
                <w:color w:val="000000"/>
                <w:sz w:val="22"/>
              </w:rPr>
            </w:pPr>
            <w:r w:rsidRPr="00F91DBE">
              <w:rPr>
                <w:color w:val="000000"/>
                <w:sz w:val="22"/>
              </w:rPr>
              <w:t>CDBG: $</w:t>
            </w:r>
            <w:r w:rsidR="00F91DBE" w:rsidRPr="00F91DBE">
              <w:rPr>
                <w:color w:val="000000"/>
                <w:sz w:val="22"/>
              </w:rPr>
              <w:t>239,705</w:t>
            </w:r>
            <w:r w:rsidR="002A38E1" w:rsidRPr="00F91DBE">
              <w:rPr>
                <w:color w:val="000000"/>
                <w:sz w:val="22"/>
              </w:rPr>
              <w:t xml:space="preserve"> </w:t>
            </w:r>
            <w:r w:rsidRPr="00F91DBE">
              <w:rPr>
                <w:color w:val="000000"/>
                <w:sz w:val="22"/>
              </w:rPr>
              <w:t>HOME:</w:t>
            </w:r>
            <w:r w:rsidR="00476B5C" w:rsidRPr="00F91DBE">
              <w:rPr>
                <w:color w:val="000000"/>
                <w:sz w:val="22"/>
              </w:rPr>
              <w:t xml:space="preserve"> </w:t>
            </w:r>
            <w:r w:rsidRPr="00F91DBE">
              <w:rPr>
                <w:color w:val="000000"/>
                <w:sz w:val="22"/>
              </w:rPr>
              <w:t>$</w:t>
            </w:r>
            <w:r w:rsidR="006B5D86" w:rsidRPr="00F91DBE">
              <w:rPr>
                <w:color w:val="000000"/>
                <w:sz w:val="22"/>
              </w:rPr>
              <w:t>71,323</w:t>
            </w:r>
          </w:p>
        </w:tc>
        <w:tc>
          <w:tcPr>
            <w:tcW w:w="0" w:type="auto"/>
            <w:vAlign w:val="center"/>
          </w:tcPr>
          <w:p w14:paraId="31832ED9" w14:textId="77777777" w:rsidR="00BE059B" w:rsidRPr="00F91DBE" w:rsidRDefault="00FB5456" w:rsidP="00205A80">
            <w:pPr>
              <w:spacing w:beforeAutospacing="1" w:afterAutospacing="1"/>
              <w:jc w:val="center"/>
            </w:pPr>
            <w:r w:rsidRPr="00F91DBE">
              <w:rPr>
                <w:color w:val="000000"/>
                <w:sz w:val="22"/>
              </w:rPr>
              <w:t>Other</w:t>
            </w:r>
          </w:p>
        </w:tc>
        <w:tc>
          <w:tcPr>
            <w:tcW w:w="0" w:type="auto"/>
            <w:vAlign w:val="center"/>
          </w:tcPr>
          <w:p w14:paraId="10A90012" w14:textId="77777777" w:rsidR="00BE059B" w:rsidRPr="00F91DBE" w:rsidRDefault="00FB5456" w:rsidP="00205A80">
            <w:pPr>
              <w:spacing w:beforeAutospacing="1" w:afterAutospacing="1"/>
              <w:jc w:val="center"/>
            </w:pPr>
            <w:r w:rsidRPr="00F91DBE">
              <w:rPr>
                <w:color w:val="000000"/>
                <w:sz w:val="22"/>
              </w:rPr>
              <w:t>Other</w:t>
            </w:r>
          </w:p>
        </w:tc>
        <w:tc>
          <w:tcPr>
            <w:tcW w:w="0" w:type="auto"/>
            <w:vAlign w:val="center"/>
          </w:tcPr>
          <w:p w14:paraId="3E745FB9" w14:textId="77777777" w:rsidR="00BE059B" w:rsidRPr="00F91DBE" w:rsidRDefault="00FB5456" w:rsidP="00205A80">
            <w:pPr>
              <w:spacing w:beforeAutospacing="1" w:afterAutospacing="1"/>
              <w:jc w:val="center"/>
              <w:rPr>
                <w:sz w:val="22"/>
                <w:szCs w:val="22"/>
              </w:rPr>
            </w:pPr>
            <w:r w:rsidRPr="00F91DBE">
              <w:rPr>
                <w:color w:val="000000"/>
                <w:sz w:val="22"/>
                <w:szCs w:val="22"/>
              </w:rPr>
              <w:t>1</w:t>
            </w:r>
          </w:p>
        </w:tc>
        <w:tc>
          <w:tcPr>
            <w:tcW w:w="0" w:type="auto"/>
            <w:vAlign w:val="center"/>
          </w:tcPr>
          <w:p w14:paraId="118903FE" w14:textId="227CB1C8" w:rsidR="00BE059B" w:rsidRPr="00F91DBE" w:rsidRDefault="00205A80" w:rsidP="00205A80">
            <w:pPr>
              <w:spacing w:beforeAutospacing="1" w:afterAutospacing="1"/>
              <w:jc w:val="center"/>
              <w:rPr>
                <w:sz w:val="22"/>
                <w:szCs w:val="22"/>
              </w:rPr>
            </w:pPr>
            <w:r w:rsidRPr="00F91DBE">
              <w:rPr>
                <w:color w:val="000000"/>
                <w:sz w:val="22"/>
                <w:szCs w:val="22"/>
              </w:rPr>
              <w:t>1</w:t>
            </w:r>
          </w:p>
        </w:tc>
        <w:tc>
          <w:tcPr>
            <w:tcW w:w="0" w:type="auto"/>
            <w:vAlign w:val="center"/>
          </w:tcPr>
          <w:p w14:paraId="506ADB33" w14:textId="1F8648AF" w:rsidR="00BE059B" w:rsidRPr="00F91DBE" w:rsidRDefault="001616F5" w:rsidP="00205A80">
            <w:pPr>
              <w:spacing w:beforeAutospacing="1" w:afterAutospacing="1"/>
              <w:jc w:val="center"/>
              <w:rPr>
                <w:sz w:val="22"/>
                <w:szCs w:val="22"/>
              </w:rPr>
            </w:pPr>
            <w:r w:rsidRPr="00F91DBE">
              <w:rPr>
                <w:color w:val="000000"/>
                <w:sz w:val="22"/>
                <w:szCs w:val="22"/>
              </w:rPr>
              <w:t>100%</w:t>
            </w:r>
          </w:p>
        </w:tc>
        <w:tc>
          <w:tcPr>
            <w:tcW w:w="0" w:type="auto"/>
            <w:vAlign w:val="center"/>
          </w:tcPr>
          <w:p w14:paraId="2E6808A6" w14:textId="77777777" w:rsidR="00BE059B" w:rsidRPr="00F91DBE" w:rsidRDefault="00FB5456" w:rsidP="00205A80">
            <w:pPr>
              <w:spacing w:beforeAutospacing="1" w:afterAutospacing="1"/>
              <w:jc w:val="center"/>
              <w:rPr>
                <w:sz w:val="22"/>
                <w:szCs w:val="22"/>
              </w:rPr>
            </w:pPr>
            <w:r w:rsidRPr="00F91DBE">
              <w:rPr>
                <w:color w:val="000000"/>
                <w:sz w:val="22"/>
                <w:szCs w:val="22"/>
              </w:rPr>
              <w:t>1</w:t>
            </w:r>
          </w:p>
        </w:tc>
        <w:tc>
          <w:tcPr>
            <w:tcW w:w="0" w:type="auto"/>
            <w:vAlign w:val="center"/>
          </w:tcPr>
          <w:p w14:paraId="682088F7" w14:textId="5DC04552" w:rsidR="00BE059B" w:rsidRPr="00F91DBE" w:rsidRDefault="001616F5" w:rsidP="00205A80">
            <w:pPr>
              <w:spacing w:beforeAutospacing="1" w:afterAutospacing="1"/>
              <w:jc w:val="center"/>
              <w:rPr>
                <w:sz w:val="22"/>
                <w:szCs w:val="22"/>
              </w:rPr>
            </w:pPr>
            <w:r w:rsidRPr="00F91DBE">
              <w:rPr>
                <w:color w:val="000000"/>
                <w:sz w:val="22"/>
                <w:szCs w:val="22"/>
              </w:rPr>
              <w:t>1</w:t>
            </w:r>
          </w:p>
        </w:tc>
        <w:tc>
          <w:tcPr>
            <w:tcW w:w="0" w:type="auto"/>
            <w:vAlign w:val="center"/>
          </w:tcPr>
          <w:p w14:paraId="43336291" w14:textId="42976F3E" w:rsidR="00BE059B" w:rsidRPr="00F91DBE" w:rsidRDefault="001616F5" w:rsidP="00205A80">
            <w:pPr>
              <w:spacing w:beforeAutospacing="1" w:afterAutospacing="1"/>
              <w:jc w:val="center"/>
              <w:rPr>
                <w:sz w:val="22"/>
                <w:szCs w:val="22"/>
              </w:rPr>
            </w:pPr>
            <w:r w:rsidRPr="00F91DBE">
              <w:rPr>
                <w:color w:val="000000"/>
                <w:sz w:val="22"/>
                <w:szCs w:val="22"/>
              </w:rPr>
              <w:t>100%</w:t>
            </w:r>
          </w:p>
        </w:tc>
      </w:tr>
      <w:tr w:rsidR="00476B5C" w:rsidRPr="00767897" w14:paraId="19B183D1" w14:textId="77777777" w:rsidTr="00F83260">
        <w:trPr>
          <w:cantSplit/>
        </w:trPr>
        <w:tc>
          <w:tcPr>
            <w:tcW w:w="1549" w:type="dxa"/>
            <w:shd w:val="clear" w:color="auto" w:fill="auto"/>
            <w:vAlign w:val="center"/>
          </w:tcPr>
          <w:p w14:paraId="71F6190A" w14:textId="0134AD07" w:rsidR="00476B5C" w:rsidRPr="00F91DBE" w:rsidRDefault="00476B5C" w:rsidP="00476B5C">
            <w:pPr>
              <w:spacing w:beforeAutospacing="1" w:afterAutospacing="1"/>
              <w:rPr>
                <w:color w:val="000000"/>
              </w:rPr>
            </w:pPr>
            <w:r w:rsidRPr="00F91DBE">
              <w:rPr>
                <w:color w:val="000000"/>
                <w:sz w:val="22"/>
              </w:rPr>
              <w:t>Fair Housing</w:t>
            </w:r>
          </w:p>
        </w:tc>
        <w:tc>
          <w:tcPr>
            <w:tcW w:w="1549" w:type="dxa"/>
            <w:shd w:val="clear" w:color="auto" w:fill="auto"/>
            <w:vAlign w:val="center"/>
          </w:tcPr>
          <w:p w14:paraId="092B913E" w14:textId="5CDEA408" w:rsidR="00476B5C" w:rsidRPr="00F91DBE" w:rsidRDefault="00476B5C" w:rsidP="00476B5C">
            <w:pPr>
              <w:spacing w:beforeAutospacing="1" w:afterAutospacing="1"/>
              <w:rPr>
                <w:color w:val="000000"/>
              </w:rPr>
            </w:pPr>
            <w:r w:rsidRPr="00F91DBE">
              <w:rPr>
                <w:color w:val="000000"/>
                <w:sz w:val="22"/>
              </w:rPr>
              <w:t>Fair Housing</w:t>
            </w:r>
          </w:p>
        </w:tc>
        <w:tc>
          <w:tcPr>
            <w:tcW w:w="0" w:type="auto"/>
            <w:shd w:val="clear" w:color="auto" w:fill="auto"/>
            <w:vAlign w:val="center"/>
          </w:tcPr>
          <w:p w14:paraId="676FADB2" w14:textId="6447B37A" w:rsidR="00476B5C" w:rsidRPr="00F91DBE" w:rsidRDefault="00476B5C" w:rsidP="00476B5C">
            <w:pPr>
              <w:spacing w:beforeAutospacing="1" w:afterAutospacing="1"/>
              <w:jc w:val="center"/>
              <w:rPr>
                <w:color w:val="000000"/>
              </w:rPr>
            </w:pPr>
            <w:r w:rsidRPr="00F91DBE">
              <w:rPr>
                <w:color w:val="000000"/>
                <w:sz w:val="22"/>
              </w:rPr>
              <w:t>CDBG: $24,000</w:t>
            </w:r>
          </w:p>
        </w:tc>
        <w:tc>
          <w:tcPr>
            <w:tcW w:w="0" w:type="auto"/>
            <w:shd w:val="clear" w:color="auto" w:fill="auto"/>
            <w:vAlign w:val="center"/>
          </w:tcPr>
          <w:p w14:paraId="42676C04" w14:textId="2DBD3C31" w:rsidR="00476B5C" w:rsidRPr="00F91DBE" w:rsidRDefault="00476B5C" w:rsidP="00476B5C">
            <w:pPr>
              <w:spacing w:beforeAutospacing="1" w:afterAutospacing="1"/>
              <w:jc w:val="center"/>
              <w:rPr>
                <w:color w:val="000000"/>
              </w:rPr>
            </w:pPr>
            <w:r w:rsidRPr="00F91DBE">
              <w:rPr>
                <w:color w:val="000000"/>
                <w:sz w:val="22"/>
              </w:rPr>
              <w:t>Other</w:t>
            </w:r>
          </w:p>
        </w:tc>
        <w:tc>
          <w:tcPr>
            <w:tcW w:w="0" w:type="auto"/>
            <w:shd w:val="clear" w:color="auto" w:fill="auto"/>
            <w:vAlign w:val="center"/>
          </w:tcPr>
          <w:p w14:paraId="14A7B3F1" w14:textId="4FBAFAB8" w:rsidR="00476B5C" w:rsidRPr="00F91DBE" w:rsidRDefault="00476B5C" w:rsidP="00476B5C">
            <w:pPr>
              <w:spacing w:beforeAutospacing="1" w:afterAutospacing="1"/>
              <w:jc w:val="center"/>
              <w:rPr>
                <w:color w:val="000000"/>
              </w:rPr>
            </w:pPr>
            <w:r w:rsidRPr="00F91DBE">
              <w:rPr>
                <w:color w:val="000000"/>
                <w:sz w:val="22"/>
              </w:rPr>
              <w:t>Persons Assisted</w:t>
            </w:r>
          </w:p>
        </w:tc>
        <w:tc>
          <w:tcPr>
            <w:tcW w:w="0" w:type="auto"/>
            <w:shd w:val="clear" w:color="auto" w:fill="auto"/>
            <w:vAlign w:val="center"/>
          </w:tcPr>
          <w:p w14:paraId="00AED9E7" w14:textId="72E59D6E" w:rsidR="00476B5C" w:rsidRPr="00247A41" w:rsidRDefault="00476B5C" w:rsidP="00476B5C">
            <w:pPr>
              <w:spacing w:beforeAutospacing="1" w:afterAutospacing="1"/>
              <w:jc w:val="center"/>
              <w:rPr>
                <w:color w:val="000000"/>
                <w:sz w:val="22"/>
                <w:szCs w:val="22"/>
              </w:rPr>
            </w:pPr>
            <w:r w:rsidRPr="00247A41">
              <w:rPr>
                <w:color w:val="000000"/>
                <w:sz w:val="22"/>
                <w:szCs w:val="22"/>
              </w:rPr>
              <w:t>1</w:t>
            </w:r>
            <w:r w:rsidR="002F3D37" w:rsidRPr="00247A41">
              <w:rPr>
                <w:color w:val="000000"/>
                <w:sz w:val="22"/>
                <w:szCs w:val="22"/>
              </w:rPr>
              <w:t>,</w:t>
            </w:r>
            <w:r w:rsidRPr="00247A41">
              <w:rPr>
                <w:color w:val="000000"/>
                <w:sz w:val="22"/>
                <w:szCs w:val="22"/>
              </w:rPr>
              <w:t>350</w:t>
            </w:r>
          </w:p>
        </w:tc>
        <w:tc>
          <w:tcPr>
            <w:tcW w:w="0" w:type="auto"/>
            <w:shd w:val="clear" w:color="auto" w:fill="auto"/>
            <w:vAlign w:val="center"/>
          </w:tcPr>
          <w:p w14:paraId="4EEA32FB" w14:textId="38EB9479" w:rsidR="00476B5C" w:rsidRPr="00247A41" w:rsidRDefault="00312634" w:rsidP="00476B5C">
            <w:pPr>
              <w:spacing w:beforeAutospacing="1" w:afterAutospacing="1"/>
              <w:jc w:val="center"/>
              <w:rPr>
                <w:color w:val="000000"/>
                <w:sz w:val="22"/>
                <w:szCs w:val="22"/>
              </w:rPr>
            </w:pPr>
            <w:r w:rsidRPr="00247A41">
              <w:rPr>
                <w:color w:val="000000"/>
                <w:sz w:val="22"/>
                <w:szCs w:val="22"/>
              </w:rPr>
              <w:t>1,</w:t>
            </w:r>
            <w:r w:rsidR="002D6C86" w:rsidRPr="00247A41">
              <w:rPr>
                <w:color w:val="000000"/>
                <w:sz w:val="22"/>
                <w:szCs w:val="22"/>
              </w:rPr>
              <w:t>310</w:t>
            </w:r>
          </w:p>
        </w:tc>
        <w:tc>
          <w:tcPr>
            <w:tcW w:w="0" w:type="auto"/>
            <w:shd w:val="clear" w:color="auto" w:fill="auto"/>
            <w:vAlign w:val="center"/>
          </w:tcPr>
          <w:p w14:paraId="09B2ACA4" w14:textId="650F8F43" w:rsidR="00476B5C" w:rsidRPr="00247A41" w:rsidRDefault="00247A41" w:rsidP="00476B5C">
            <w:pPr>
              <w:spacing w:beforeAutospacing="1" w:afterAutospacing="1"/>
              <w:jc w:val="center"/>
              <w:rPr>
                <w:color w:val="000000"/>
                <w:sz w:val="22"/>
                <w:szCs w:val="22"/>
              </w:rPr>
            </w:pPr>
            <w:r w:rsidRPr="00247A41">
              <w:rPr>
                <w:sz w:val="22"/>
                <w:szCs w:val="22"/>
              </w:rPr>
              <w:t>97</w:t>
            </w:r>
            <w:r w:rsidR="00476B5C" w:rsidRPr="00247A41">
              <w:rPr>
                <w:sz w:val="22"/>
                <w:szCs w:val="22"/>
              </w:rPr>
              <w:t>%</w:t>
            </w:r>
          </w:p>
        </w:tc>
        <w:tc>
          <w:tcPr>
            <w:tcW w:w="0" w:type="auto"/>
            <w:shd w:val="clear" w:color="auto" w:fill="auto"/>
            <w:vAlign w:val="center"/>
          </w:tcPr>
          <w:p w14:paraId="2695CC46" w14:textId="0785DD7D" w:rsidR="00476B5C" w:rsidRPr="00C33D80" w:rsidRDefault="00476B5C" w:rsidP="00476B5C">
            <w:pPr>
              <w:spacing w:beforeAutospacing="1" w:afterAutospacing="1"/>
              <w:jc w:val="center"/>
              <w:rPr>
                <w:sz w:val="22"/>
                <w:szCs w:val="22"/>
              </w:rPr>
            </w:pPr>
            <w:r w:rsidRPr="00C33D80">
              <w:rPr>
                <w:color w:val="000000"/>
                <w:sz w:val="22"/>
                <w:szCs w:val="22"/>
              </w:rPr>
              <w:t>2</w:t>
            </w:r>
            <w:r w:rsidR="00C848D9" w:rsidRPr="00C33D80">
              <w:rPr>
                <w:color w:val="000000"/>
                <w:sz w:val="22"/>
                <w:szCs w:val="22"/>
              </w:rPr>
              <w:t>7</w:t>
            </w:r>
            <w:r w:rsidRPr="00C33D80">
              <w:rPr>
                <w:color w:val="000000"/>
                <w:sz w:val="22"/>
                <w:szCs w:val="22"/>
              </w:rPr>
              <w:t>0</w:t>
            </w:r>
          </w:p>
        </w:tc>
        <w:tc>
          <w:tcPr>
            <w:tcW w:w="0" w:type="auto"/>
            <w:shd w:val="clear" w:color="auto" w:fill="auto"/>
            <w:vAlign w:val="center"/>
          </w:tcPr>
          <w:p w14:paraId="5BCA51D9" w14:textId="1A702C04" w:rsidR="00476B5C" w:rsidRPr="00C33D80" w:rsidRDefault="00CD1DA9" w:rsidP="00476B5C">
            <w:pPr>
              <w:spacing w:beforeAutospacing="1" w:afterAutospacing="1"/>
              <w:jc w:val="center"/>
              <w:rPr>
                <w:sz w:val="22"/>
                <w:szCs w:val="22"/>
              </w:rPr>
            </w:pPr>
            <w:r w:rsidRPr="00C33D80">
              <w:rPr>
                <w:color w:val="000000"/>
                <w:sz w:val="22"/>
                <w:szCs w:val="22"/>
              </w:rPr>
              <w:t>3</w:t>
            </w:r>
            <w:r w:rsidR="00C33D80" w:rsidRPr="00C33D80">
              <w:rPr>
                <w:color w:val="000000"/>
                <w:sz w:val="22"/>
                <w:szCs w:val="22"/>
              </w:rPr>
              <w:t>06</w:t>
            </w:r>
          </w:p>
        </w:tc>
        <w:tc>
          <w:tcPr>
            <w:tcW w:w="0" w:type="auto"/>
            <w:shd w:val="clear" w:color="auto" w:fill="auto"/>
            <w:vAlign w:val="center"/>
          </w:tcPr>
          <w:p w14:paraId="7BB2E96A" w14:textId="4F73FD47" w:rsidR="00476B5C" w:rsidRPr="00C33D80" w:rsidRDefault="00476B5C" w:rsidP="00476B5C">
            <w:pPr>
              <w:spacing w:beforeAutospacing="1" w:afterAutospacing="1"/>
              <w:jc w:val="center"/>
              <w:rPr>
                <w:sz w:val="22"/>
                <w:szCs w:val="22"/>
              </w:rPr>
            </w:pPr>
            <w:r w:rsidRPr="00C33D80">
              <w:rPr>
                <w:color w:val="000000"/>
                <w:sz w:val="22"/>
                <w:szCs w:val="22"/>
              </w:rPr>
              <w:t>11</w:t>
            </w:r>
            <w:r w:rsidR="00C33D80" w:rsidRPr="00C33D80">
              <w:rPr>
                <w:color w:val="000000"/>
                <w:sz w:val="22"/>
                <w:szCs w:val="22"/>
              </w:rPr>
              <w:t>3</w:t>
            </w:r>
            <w:r w:rsidRPr="00C33D80">
              <w:rPr>
                <w:color w:val="000000"/>
                <w:sz w:val="22"/>
                <w:szCs w:val="22"/>
              </w:rPr>
              <w:t>%</w:t>
            </w:r>
          </w:p>
        </w:tc>
      </w:tr>
      <w:tr w:rsidR="00476B5C" w:rsidRPr="00767897" w14:paraId="7C93B13F" w14:textId="77777777" w:rsidTr="00F83260">
        <w:trPr>
          <w:cantSplit/>
        </w:trPr>
        <w:tc>
          <w:tcPr>
            <w:tcW w:w="1549" w:type="dxa"/>
            <w:shd w:val="clear" w:color="auto" w:fill="auto"/>
            <w:vAlign w:val="center"/>
          </w:tcPr>
          <w:p w14:paraId="5953C696" w14:textId="1E5B5628" w:rsidR="00476B5C" w:rsidRPr="00E85C89" w:rsidRDefault="00476B5C" w:rsidP="00476B5C">
            <w:pPr>
              <w:spacing w:beforeAutospacing="1" w:afterAutospacing="1"/>
              <w:rPr>
                <w:color w:val="000000"/>
              </w:rPr>
            </w:pPr>
            <w:r w:rsidRPr="00E85C89">
              <w:rPr>
                <w:color w:val="000000"/>
                <w:sz w:val="22"/>
              </w:rPr>
              <w:t>Public Services</w:t>
            </w:r>
          </w:p>
        </w:tc>
        <w:tc>
          <w:tcPr>
            <w:tcW w:w="1549" w:type="dxa"/>
            <w:shd w:val="clear" w:color="auto" w:fill="auto"/>
            <w:vAlign w:val="center"/>
          </w:tcPr>
          <w:p w14:paraId="7DF64C71" w14:textId="3104F16F" w:rsidR="00476B5C" w:rsidRPr="00E85C89" w:rsidRDefault="00476B5C" w:rsidP="00476B5C">
            <w:pPr>
              <w:spacing w:beforeAutospacing="1" w:afterAutospacing="1"/>
              <w:rPr>
                <w:color w:val="000000"/>
              </w:rPr>
            </w:pPr>
            <w:r w:rsidRPr="00E85C89">
              <w:rPr>
                <w:color w:val="000000"/>
                <w:sz w:val="22"/>
              </w:rPr>
              <w:t>Non-Housing Community Development</w:t>
            </w:r>
            <w:r w:rsidRPr="00E85C89">
              <w:rPr>
                <w:color w:val="000000"/>
                <w:sz w:val="22"/>
              </w:rPr>
              <w:br/>
              <w:t>Public Services</w:t>
            </w:r>
          </w:p>
        </w:tc>
        <w:tc>
          <w:tcPr>
            <w:tcW w:w="0" w:type="auto"/>
            <w:shd w:val="clear" w:color="auto" w:fill="auto"/>
            <w:vAlign w:val="center"/>
          </w:tcPr>
          <w:p w14:paraId="6CDF9717" w14:textId="22E619CC" w:rsidR="00476B5C" w:rsidRPr="00E85C89" w:rsidRDefault="00476B5C" w:rsidP="00476B5C">
            <w:pPr>
              <w:spacing w:beforeAutospacing="1" w:afterAutospacing="1"/>
              <w:jc w:val="center"/>
              <w:rPr>
                <w:color w:val="000000"/>
              </w:rPr>
            </w:pPr>
            <w:r w:rsidRPr="00E85C89">
              <w:rPr>
                <w:color w:val="000000"/>
                <w:sz w:val="22"/>
              </w:rPr>
              <w:t>CDBG: $</w:t>
            </w:r>
            <w:r w:rsidR="00E85C89" w:rsidRPr="00E85C89">
              <w:rPr>
                <w:color w:val="000000"/>
                <w:sz w:val="22"/>
              </w:rPr>
              <w:t>197,779</w:t>
            </w:r>
          </w:p>
        </w:tc>
        <w:tc>
          <w:tcPr>
            <w:tcW w:w="0" w:type="auto"/>
            <w:shd w:val="clear" w:color="auto" w:fill="auto"/>
            <w:vAlign w:val="center"/>
          </w:tcPr>
          <w:p w14:paraId="58B439ED" w14:textId="429E545E" w:rsidR="00476B5C" w:rsidRPr="00B16D8A" w:rsidRDefault="00476B5C" w:rsidP="00476B5C">
            <w:pPr>
              <w:spacing w:beforeAutospacing="1" w:afterAutospacing="1"/>
              <w:jc w:val="center"/>
              <w:rPr>
                <w:color w:val="000000"/>
              </w:rPr>
            </w:pPr>
            <w:r w:rsidRPr="00B16D8A">
              <w:rPr>
                <w:color w:val="000000"/>
                <w:sz w:val="22"/>
              </w:rPr>
              <w:t>Public service activities other than Low/Moderate Income Housing Benefit</w:t>
            </w:r>
          </w:p>
        </w:tc>
        <w:tc>
          <w:tcPr>
            <w:tcW w:w="0" w:type="auto"/>
            <w:shd w:val="clear" w:color="auto" w:fill="auto"/>
            <w:vAlign w:val="center"/>
          </w:tcPr>
          <w:p w14:paraId="151F1A95" w14:textId="4F176F7E" w:rsidR="00476B5C" w:rsidRPr="00B16D8A" w:rsidRDefault="00476B5C" w:rsidP="00476B5C">
            <w:pPr>
              <w:spacing w:beforeAutospacing="1" w:afterAutospacing="1"/>
              <w:jc w:val="center"/>
              <w:rPr>
                <w:color w:val="000000"/>
              </w:rPr>
            </w:pPr>
            <w:r w:rsidRPr="00B16D8A">
              <w:rPr>
                <w:color w:val="000000"/>
                <w:sz w:val="22"/>
              </w:rPr>
              <w:t>Persons Assisted</w:t>
            </w:r>
          </w:p>
        </w:tc>
        <w:tc>
          <w:tcPr>
            <w:tcW w:w="0" w:type="auto"/>
            <w:shd w:val="clear" w:color="auto" w:fill="auto"/>
            <w:vAlign w:val="center"/>
          </w:tcPr>
          <w:p w14:paraId="654B85AB" w14:textId="262DC8E4" w:rsidR="00476B5C" w:rsidRPr="00B16D8A" w:rsidRDefault="00476B5C" w:rsidP="00476B5C">
            <w:pPr>
              <w:spacing w:beforeAutospacing="1" w:afterAutospacing="1"/>
              <w:jc w:val="center"/>
              <w:rPr>
                <w:color w:val="000000"/>
                <w:sz w:val="22"/>
                <w:szCs w:val="22"/>
              </w:rPr>
            </w:pPr>
            <w:r w:rsidRPr="00B16D8A">
              <w:rPr>
                <w:color w:val="000000"/>
                <w:sz w:val="22"/>
                <w:szCs w:val="22"/>
              </w:rPr>
              <w:t>1</w:t>
            </w:r>
            <w:r w:rsidR="00B16D8A">
              <w:rPr>
                <w:color w:val="000000"/>
                <w:sz w:val="22"/>
                <w:szCs w:val="22"/>
              </w:rPr>
              <w:t>,</w:t>
            </w:r>
            <w:r w:rsidRPr="00B16D8A">
              <w:rPr>
                <w:color w:val="000000"/>
                <w:sz w:val="22"/>
                <w:szCs w:val="22"/>
              </w:rPr>
              <w:t>225</w:t>
            </w:r>
          </w:p>
        </w:tc>
        <w:tc>
          <w:tcPr>
            <w:tcW w:w="0" w:type="auto"/>
            <w:shd w:val="clear" w:color="auto" w:fill="auto"/>
            <w:vAlign w:val="center"/>
          </w:tcPr>
          <w:p w14:paraId="1D53CC29" w14:textId="3A673714" w:rsidR="00476B5C" w:rsidRPr="00767897" w:rsidRDefault="00CB1348" w:rsidP="00476B5C">
            <w:pPr>
              <w:spacing w:beforeAutospacing="1" w:afterAutospacing="1"/>
              <w:jc w:val="center"/>
              <w:rPr>
                <w:color w:val="000000"/>
                <w:sz w:val="22"/>
                <w:szCs w:val="22"/>
                <w:highlight w:val="yellow"/>
              </w:rPr>
            </w:pPr>
            <w:r w:rsidRPr="009F14D6">
              <w:rPr>
                <w:color w:val="000000"/>
                <w:sz w:val="22"/>
                <w:szCs w:val="22"/>
              </w:rPr>
              <w:t>346</w:t>
            </w:r>
          </w:p>
        </w:tc>
        <w:tc>
          <w:tcPr>
            <w:tcW w:w="0" w:type="auto"/>
            <w:shd w:val="clear" w:color="auto" w:fill="auto"/>
            <w:vAlign w:val="center"/>
          </w:tcPr>
          <w:p w14:paraId="32CC0EF9" w14:textId="5895D1BE" w:rsidR="00476B5C" w:rsidRPr="00767897" w:rsidRDefault="00476B5C" w:rsidP="00476B5C">
            <w:pPr>
              <w:spacing w:beforeAutospacing="1" w:afterAutospacing="1"/>
              <w:jc w:val="center"/>
              <w:rPr>
                <w:color w:val="000000"/>
                <w:sz w:val="22"/>
                <w:szCs w:val="22"/>
                <w:highlight w:val="yellow"/>
              </w:rPr>
            </w:pPr>
            <w:r w:rsidRPr="00A91E60">
              <w:rPr>
                <w:color w:val="000000"/>
                <w:sz w:val="22"/>
                <w:szCs w:val="22"/>
              </w:rPr>
              <w:t>2</w:t>
            </w:r>
            <w:r w:rsidR="00A91E60" w:rsidRPr="00A91E60">
              <w:rPr>
                <w:color w:val="000000"/>
                <w:sz w:val="22"/>
                <w:szCs w:val="22"/>
              </w:rPr>
              <w:t>8</w:t>
            </w:r>
            <w:r w:rsidRPr="00A91E60">
              <w:rPr>
                <w:color w:val="000000"/>
                <w:sz w:val="22"/>
                <w:szCs w:val="22"/>
              </w:rPr>
              <w:t>%</w:t>
            </w:r>
          </w:p>
        </w:tc>
        <w:tc>
          <w:tcPr>
            <w:tcW w:w="0" w:type="auto"/>
            <w:shd w:val="clear" w:color="auto" w:fill="auto"/>
            <w:vAlign w:val="center"/>
          </w:tcPr>
          <w:p w14:paraId="59672446" w14:textId="409CB20E" w:rsidR="00476B5C" w:rsidRPr="00767897" w:rsidRDefault="00574827" w:rsidP="00476B5C">
            <w:pPr>
              <w:spacing w:beforeAutospacing="1" w:afterAutospacing="1"/>
              <w:jc w:val="center"/>
              <w:rPr>
                <w:sz w:val="22"/>
                <w:szCs w:val="22"/>
                <w:highlight w:val="yellow"/>
              </w:rPr>
            </w:pPr>
            <w:r w:rsidRPr="00574827">
              <w:rPr>
                <w:color w:val="000000"/>
                <w:sz w:val="22"/>
                <w:szCs w:val="22"/>
              </w:rPr>
              <w:t>8</w:t>
            </w:r>
            <w:r w:rsidR="00476B5C" w:rsidRPr="00574827">
              <w:rPr>
                <w:color w:val="000000"/>
                <w:sz w:val="22"/>
                <w:szCs w:val="22"/>
              </w:rPr>
              <w:t>0</w:t>
            </w:r>
          </w:p>
        </w:tc>
        <w:tc>
          <w:tcPr>
            <w:tcW w:w="0" w:type="auto"/>
            <w:shd w:val="clear" w:color="auto" w:fill="auto"/>
            <w:vAlign w:val="center"/>
          </w:tcPr>
          <w:p w14:paraId="64E765A6" w14:textId="0937BBB9" w:rsidR="00476B5C" w:rsidRPr="00A03EB7" w:rsidRDefault="00E94D95" w:rsidP="00476B5C">
            <w:pPr>
              <w:spacing w:beforeAutospacing="1" w:afterAutospacing="1"/>
              <w:jc w:val="center"/>
              <w:rPr>
                <w:sz w:val="22"/>
                <w:szCs w:val="22"/>
              </w:rPr>
            </w:pPr>
            <w:r w:rsidRPr="00A03EB7">
              <w:rPr>
                <w:color w:val="000000"/>
                <w:sz w:val="22"/>
                <w:szCs w:val="22"/>
              </w:rPr>
              <w:t>74</w:t>
            </w:r>
          </w:p>
        </w:tc>
        <w:tc>
          <w:tcPr>
            <w:tcW w:w="0" w:type="auto"/>
            <w:shd w:val="clear" w:color="auto" w:fill="auto"/>
            <w:vAlign w:val="center"/>
          </w:tcPr>
          <w:p w14:paraId="1C337171" w14:textId="7FB488E3" w:rsidR="00476B5C" w:rsidRPr="00A03EB7" w:rsidRDefault="00A03EB7" w:rsidP="00476B5C">
            <w:pPr>
              <w:spacing w:beforeAutospacing="1" w:afterAutospacing="1"/>
              <w:jc w:val="center"/>
              <w:rPr>
                <w:sz w:val="22"/>
                <w:szCs w:val="22"/>
              </w:rPr>
            </w:pPr>
            <w:r w:rsidRPr="00A03EB7">
              <w:rPr>
                <w:color w:val="000000"/>
                <w:sz w:val="22"/>
                <w:szCs w:val="22"/>
              </w:rPr>
              <w:t>92.5</w:t>
            </w:r>
            <w:r w:rsidR="00476B5C" w:rsidRPr="00A03EB7">
              <w:rPr>
                <w:color w:val="000000"/>
                <w:sz w:val="22"/>
                <w:szCs w:val="22"/>
              </w:rPr>
              <w:t>%</w:t>
            </w:r>
          </w:p>
        </w:tc>
      </w:tr>
      <w:tr w:rsidR="00F83260" w:rsidRPr="00767897" w14:paraId="365FDD82" w14:textId="77777777" w:rsidTr="00F83260">
        <w:trPr>
          <w:cantSplit/>
        </w:trPr>
        <w:tc>
          <w:tcPr>
            <w:tcW w:w="1549" w:type="dxa"/>
            <w:shd w:val="clear" w:color="auto" w:fill="auto"/>
            <w:vAlign w:val="center"/>
          </w:tcPr>
          <w:p w14:paraId="69D30A31" w14:textId="77777777" w:rsidR="00F83260" w:rsidRPr="00651EB1" w:rsidRDefault="00F83260" w:rsidP="00F83260">
            <w:pPr>
              <w:spacing w:beforeAutospacing="1" w:afterAutospacing="1"/>
            </w:pPr>
            <w:r w:rsidRPr="00651EB1">
              <w:rPr>
                <w:color w:val="000000"/>
                <w:sz w:val="22"/>
              </w:rPr>
              <w:t>Commercial Rehabilitation</w:t>
            </w:r>
          </w:p>
        </w:tc>
        <w:tc>
          <w:tcPr>
            <w:tcW w:w="1549" w:type="dxa"/>
            <w:shd w:val="clear" w:color="auto" w:fill="auto"/>
            <w:vAlign w:val="center"/>
          </w:tcPr>
          <w:p w14:paraId="603AE5EC" w14:textId="77777777" w:rsidR="00F83260" w:rsidRPr="00651EB1" w:rsidRDefault="00F83260" w:rsidP="00F83260">
            <w:pPr>
              <w:spacing w:beforeAutospacing="1" w:afterAutospacing="1"/>
            </w:pPr>
            <w:r w:rsidRPr="00651EB1">
              <w:rPr>
                <w:color w:val="000000"/>
                <w:sz w:val="22"/>
              </w:rPr>
              <w:t>Non-Housing Community Development</w:t>
            </w:r>
          </w:p>
        </w:tc>
        <w:tc>
          <w:tcPr>
            <w:tcW w:w="0" w:type="auto"/>
            <w:shd w:val="clear" w:color="auto" w:fill="auto"/>
            <w:vAlign w:val="center"/>
          </w:tcPr>
          <w:p w14:paraId="4E936CB2" w14:textId="0A0D3FDA" w:rsidR="00F83260" w:rsidRPr="00651EB1" w:rsidRDefault="00F83260" w:rsidP="00F83260">
            <w:pPr>
              <w:spacing w:beforeAutospacing="1" w:afterAutospacing="1"/>
              <w:jc w:val="center"/>
            </w:pPr>
            <w:r w:rsidRPr="00651EB1">
              <w:rPr>
                <w:color w:val="000000"/>
                <w:sz w:val="22"/>
              </w:rPr>
              <w:t>CDBG: $</w:t>
            </w:r>
            <w:r w:rsidR="00A50869" w:rsidRPr="00651EB1">
              <w:rPr>
                <w:color w:val="000000"/>
                <w:sz w:val="22"/>
              </w:rPr>
              <w:t>500,000</w:t>
            </w:r>
          </w:p>
        </w:tc>
        <w:tc>
          <w:tcPr>
            <w:tcW w:w="0" w:type="auto"/>
            <w:shd w:val="clear" w:color="auto" w:fill="auto"/>
            <w:vAlign w:val="center"/>
          </w:tcPr>
          <w:p w14:paraId="08BDB9F7" w14:textId="77777777" w:rsidR="00F83260" w:rsidRPr="00651EB1" w:rsidRDefault="00F83260" w:rsidP="00F83260">
            <w:pPr>
              <w:spacing w:beforeAutospacing="1" w:afterAutospacing="1"/>
              <w:jc w:val="center"/>
            </w:pPr>
            <w:r w:rsidRPr="00651EB1">
              <w:rPr>
                <w:color w:val="000000"/>
                <w:sz w:val="22"/>
              </w:rPr>
              <w:t>Facade treatment/business building rehabilitation</w:t>
            </w:r>
          </w:p>
        </w:tc>
        <w:tc>
          <w:tcPr>
            <w:tcW w:w="0" w:type="auto"/>
            <w:shd w:val="clear" w:color="auto" w:fill="auto"/>
            <w:vAlign w:val="center"/>
          </w:tcPr>
          <w:p w14:paraId="7193EF47" w14:textId="77777777" w:rsidR="00F83260" w:rsidRPr="00651EB1" w:rsidRDefault="00F83260" w:rsidP="00F83260">
            <w:pPr>
              <w:spacing w:beforeAutospacing="1" w:afterAutospacing="1"/>
              <w:jc w:val="center"/>
            </w:pPr>
            <w:r w:rsidRPr="00651EB1">
              <w:rPr>
                <w:color w:val="000000"/>
                <w:sz w:val="22"/>
              </w:rPr>
              <w:t>Business</w:t>
            </w:r>
          </w:p>
        </w:tc>
        <w:tc>
          <w:tcPr>
            <w:tcW w:w="0" w:type="auto"/>
            <w:shd w:val="clear" w:color="auto" w:fill="auto"/>
            <w:vAlign w:val="center"/>
          </w:tcPr>
          <w:p w14:paraId="534F599F" w14:textId="77777777" w:rsidR="00F83260" w:rsidRPr="00651EB1" w:rsidRDefault="00F83260" w:rsidP="00F83260">
            <w:pPr>
              <w:spacing w:beforeAutospacing="1" w:afterAutospacing="1"/>
              <w:jc w:val="center"/>
              <w:rPr>
                <w:sz w:val="22"/>
                <w:szCs w:val="22"/>
              </w:rPr>
            </w:pPr>
            <w:r w:rsidRPr="00651EB1">
              <w:rPr>
                <w:color w:val="000000"/>
                <w:sz w:val="22"/>
                <w:szCs w:val="22"/>
              </w:rPr>
              <w:t>70</w:t>
            </w:r>
          </w:p>
        </w:tc>
        <w:tc>
          <w:tcPr>
            <w:tcW w:w="0" w:type="auto"/>
            <w:shd w:val="clear" w:color="auto" w:fill="auto"/>
            <w:vAlign w:val="center"/>
          </w:tcPr>
          <w:p w14:paraId="262E1915" w14:textId="7BCA42B1" w:rsidR="00F83260" w:rsidRPr="00651EB1" w:rsidRDefault="006A56F6" w:rsidP="00F83260">
            <w:pPr>
              <w:spacing w:beforeAutospacing="1" w:afterAutospacing="1"/>
              <w:jc w:val="center"/>
              <w:rPr>
                <w:sz w:val="22"/>
                <w:szCs w:val="22"/>
              </w:rPr>
            </w:pPr>
            <w:r w:rsidRPr="00651EB1">
              <w:rPr>
                <w:color w:val="000000"/>
                <w:sz w:val="22"/>
                <w:szCs w:val="22"/>
              </w:rPr>
              <w:t>2</w:t>
            </w:r>
          </w:p>
        </w:tc>
        <w:tc>
          <w:tcPr>
            <w:tcW w:w="0" w:type="auto"/>
            <w:shd w:val="clear" w:color="auto" w:fill="auto"/>
            <w:vAlign w:val="center"/>
          </w:tcPr>
          <w:p w14:paraId="5184F8D2" w14:textId="36F0EF19" w:rsidR="00F83260" w:rsidRPr="00651EB1" w:rsidRDefault="00651EB1" w:rsidP="00F83260">
            <w:pPr>
              <w:spacing w:beforeAutospacing="1" w:afterAutospacing="1"/>
              <w:jc w:val="center"/>
              <w:rPr>
                <w:color w:val="000000"/>
                <w:sz w:val="22"/>
                <w:szCs w:val="22"/>
              </w:rPr>
            </w:pPr>
            <w:r w:rsidRPr="00651EB1">
              <w:rPr>
                <w:color w:val="000000"/>
                <w:sz w:val="22"/>
                <w:szCs w:val="22"/>
              </w:rPr>
              <w:t>2</w:t>
            </w:r>
            <w:r w:rsidR="00F83260" w:rsidRPr="00651EB1">
              <w:rPr>
                <w:color w:val="000000"/>
                <w:sz w:val="22"/>
                <w:szCs w:val="22"/>
              </w:rPr>
              <w:t>%</w:t>
            </w:r>
          </w:p>
        </w:tc>
        <w:tc>
          <w:tcPr>
            <w:tcW w:w="0" w:type="auto"/>
            <w:shd w:val="clear" w:color="auto" w:fill="auto"/>
            <w:vAlign w:val="center"/>
          </w:tcPr>
          <w:p w14:paraId="754A60FC" w14:textId="68182F74" w:rsidR="00F83260" w:rsidRPr="00651EB1" w:rsidRDefault="00D977D0" w:rsidP="00F83260">
            <w:pPr>
              <w:spacing w:beforeAutospacing="1" w:afterAutospacing="1"/>
              <w:jc w:val="center"/>
              <w:rPr>
                <w:sz w:val="22"/>
                <w:szCs w:val="22"/>
              </w:rPr>
            </w:pPr>
            <w:r w:rsidRPr="00651EB1">
              <w:rPr>
                <w:sz w:val="22"/>
                <w:szCs w:val="22"/>
              </w:rPr>
              <w:t>2</w:t>
            </w:r>
          </w:p>
        </w:tc>
        <w:tc>
          <w:tcPr>
            <w:tcW w:w="0" w:type="auto"/>
            <w:shd w:val="clear" w:color="auto" w:fill="auto"/>
            <w:vAlign w:val="center"/>
          </w:tcPr>
          <w:p w14:paraId="41779570" w14:textId="744BAF76" w:rsidR="00F83260" w:rsidRPr="00651EB1" w:rsidRDefault="006A56F6" w:rsidP="00F83260">
            <w:pPr>
              <w:spacing w:beforeAutospacing="1" w:afterAutospacing="1"/>
              <w:jc w:val="center"/>
              <w:rPr>
                <w:sz w:val="22"/>
                <w:szCs w:val="22"/>
              </w:rPr>
            </w:pPr>
            <w:r w:rsidRPr="00651EB1">
              <w:rPr>
                <w:sz w:val="22"/>
                <w:szCs w:val="22"/>
              </w:rPr>
              <w:t>2</w:t>
            </w:r>
          </w:p>
        </w:tc>
        <w:tc>
          <w:tcPr>
            <w:tcW w:w="0" w:type="auto"/>
            <w:shd w:val="clear" w:color="auto" w:fill="auto"/>
            <w:vAlign w:val="center"/>
          </w:tcPr>
          <w:p w14:paraId="23ACC720" w14:textId="7EB30D14" w:rsidR="00F83260" w:rsidRPr="00651EB1" w:rsidRDefault="004D3A24" w:rsidP="00F83260">
            <w:pPr>
              <w:spacing w:beforeAutospacing="1" w:afterAutospacing="1"/>
              <w:jc w:val="center"/>
              <w:rPr>
                <w:sz w:val="22"/>
                <w:szCs w:val="22"/>
              </w:rPr>
            </w:pPr>
            <w:r w:rsidRPr="00651EB1">
              <w:rPr>
                <w:sz w:val="22"/>
                <w:szCs w:val="22"/>
              </w:rPr>
              <w:t>100</w:t>
            </w:r>
            <w:r w:rsidR="00F83260" w:rsidRPr="00651EB1">
              <w:rPr>
                <w:sz w:val="22"/>
                <w:szCs w:val="22"/>
              </w:rPr>
              <w:t>%</w:t>
            </w:r>
          </w:p>
        </w:tc>
      </w:tr>
      <w:tr w:rsidR="00F83260" w:rsidRPr="00767897" w14:paraId="72B71F0C" w14:textId="77777777" w:rsidTr="00F83260">
        <w:trPr>
          <w:cantSplit/>
        </w:trPr>
        <w:tc>
          <w:tcPr>
            <w:tcW w:w="1549" w:type="dxa"/>
            <w:shd w:val="clear" w:color="auto" w:fill="auto"/>
            <w:vAlign w:val="center"/>
          </w:tcPr>
          <w:p w14:paraId="03986508" w14:textId="0C1630E2" w:rsidR="00F83260" w:rsidRPr="004D3A24" w:rsidRDefault="00F83260" w:rsidP="00F83260">
            <w:pPr>
              <w:spacing w:beforeAutospacing="1" w:afterAutospacing="1"/>
              <w:rPr>
                <w:color w:val="000000"/>
              </w:rPr>
            </w:pPr>
            <w:r w:rsidRPr="004D3A24">
              <w:rPr>
                <w:color w:val="000000"/>
                <w:sz w:val="22"/>
              </w:rPr>
              <w:t>Commercial Rehabilitation</w:t>
            </w:r>
          </w:p>
        </w:tc>
        <w:tc>
          <w:tcPr>
            <w:tcW w:w="1549" w:type="dxa"/>
            <w:shd w:val="clear" w:color="auto" w:fill="auto"/>
            <w:vAlign w:val="center"/>
          </w:tcPr>
          <w:p w14:paraId="0868A3D3" w14:textId="4A5DFA02" w:rsidR="00F83260" w:rsidRPr="004D3A24" w:rsidRDefault="00F83260" w:rsidP="00F83260">
            <w:pPr>
              <w:spacing w:beforeAutospacing="1" w:afterAutospacing="1"/>
              <w:rPr>
                <w:color w:val="000000"/>
              </w:rPr>
            </w:pPr>
            <w:r w:rsidRPr="004D3A24">
              <w:rPr>
                <w:color w:val="000000"/>
                <w:sz w:val="22"/>
              </w:rPr>
              <w:t>Non-Housing Community Development</w:t>
            </w:r>
          </w:p>
        </w:tc>
        <w:tc>
          <w:tcPr>
            <w:tcW w:w="0" w:type="auto"/>
            <w:shd w:val="clear" w:color="auto" w:fill="auto"/>
            <w:vAlign w:val="center"/>
          </w:tcPr>
          <w:p w14:paraId="316186CE" w14:textId="52076470" w:rsidR="00F83260" w:rsidRPr="004D3A24" w:rsidRDefault="00F83260" w:rsidP="00F83260">
            <w:pPr>
              <w:spacing w:beforeAutospacing="1" w:afterAutospacing="1"/>
              <w:jc w:val="center"/>
              <w:rPr>
                <w:color w:val="000000"/>
              </w:rPr>
            </w:pPr>
            <w:r w:rsidRPr="004D3A24">
              <w:rPr>
                <w:color w:val="000000"/>
                <w:sz w:val="22"/>
              </w:rPr>
              <w:t>CDBG: $650,000</w:t>
            </w:r>
          </w:p>
        </w:tc>
        <w:tc>
          <w:tcPr>
            <w:tcW w:w="0" w:type="auto"/>
            <w:shd w:val="clear" w:color="auto" w:fill="auto"/>
            <w:vAlign w:val="center"/>
          </w:tcPr>
          <w:p w14:paraId="057D6CAC" w14:textId="1271C817" w:rsidR="00F83260" w:rsidRPr="004D3A24" w:rsidRDefault="00F83260" w:rsidP="00F83260">
            <w:pPr>
              <w:spacing w:beforeAutospacing="1" w:afterAutospacing="1"/>
              <w:jc w:val="center"/>
              <w:rPr>
                <w:color w:val="000000"/>
              </w:rPr>
            </w:pPr>
            <w:r w:rsidRPr="004D3A24">
              <w:rPr>
                <w:color w:val="000000"/>
                <w:sz w:val="22"/>
              </w:rPr>
              <w:t xml:space="preserve">Businesses Assisted </w:t>
            </w:r>
          </w:p>
        </w:tc>
        <w:tc>
          <w:tcPr>
            <w:tcW w:w="0" w:type="auto"/>
            <w:shd w:val="clear" w:color="auto" w:fill="auto"/>
            <w:vAlign w:val="center"/>
          </w:tcPr>
          <w:p w14:paraId="37BEC22D" w14:textId="2B1F3F03" w:rsidR="00F83260" w:rsidRPr="004D3A24" w:rsidRDefault="00F83260" w:rsidP="00F83260">
            <w:pPr>
              <w:spacing w:beforeAutospacing="1" w:afterAutospacing="1"/>
              <w:jc w:val="center"/>
              <w:rPr>
                <w:color w:val="000000"/>
              </w:rPr>
            </w:pPr>
            <w:r w:rsidRPr="004D3A24">
              <w:rPr>
                <w:color w:val="000000"/>
                <w:sz w:val="22"/>
              </w:rPr>
              <w:t>Business</w:t>
            </w:r>
          </w:p>
        </w:tc>
        <w:tc>
          <w:tcPr>
            <w:tcW w:w="0" w:type="auto"/>
            <w:shd w:val="clear" w:color="auto" w:fill="auto"/>
            <w:vAlign w:val="center"/>
          </w:tcPr>
          <w:p w14:paraId="2C2BFAF6" w14:textId="7E536A39" w:rsidR="00F83260" w:rsidRPr="004D3A24" w:rsidRDefault="00F83260" w:rsidP="00F83260">
            <w:pPr>
              <w:spacing w:beforeAutospacing="1" w:afterAutospacing="1"/>
              <w:jc w:val="center"/>
              <w:rPr>
                <w:color w:val="000000"/>
                <w:sz w:val="22"/>
                <w:szCs w:val="22"/>
              </w:rPr>
            </w:pPr>
            <w:r w:rsidRPr="004D3A24">
              <w:rPr>
                <w:color w:val="000000"/>
                <w:sz w:val="22"/>
                <w:szCs w:val="22"/>
              </w:rPr>
              <w:t>14</w:t>
            </w:r>
          </w:p>
        </w:tc>
        <w:tc>
          <w:tcPr>
            <w:tcW w:w="0" w:type="auto"/>
            <w:shd w:val="clear" w:color="auto" w:fill="auto"/>
            <w:vAlign w:val="center"/>
          </w:tcPr>
          <w:p w14:paraId="2E477534" w14:textId="00C606CF" w:rsidR="00F83260" w:rsidRPr="004D3A24" w:rsidRDefault="00F83260" w:rsidP="00F83260">
            <w:pPr>
              <w:spacing w:beforeAutospacing="1" w:afterAutospacing="1"/>
              <w:jc w:val="center"/>
              <w:rPr>
                <w:color w:val="000000"/>
                <w:sz w:val="22"/>
                <w:szCs w:val="22"/>
              </w:rPr>
            </w:pPr>
            <w:r w:rsidRPr="004D3A24">
              <w:rPr>
                <w:color w:val="000000"/>
                <w:sz w:val="22"/>
                <w:szCs w:val="22"/>
              </w:rPr>
              <w:t>0</w:t>
            </w:r>
          </w:p>
        </w:tc>
        <w:tc>
          <w:tcPr>
            <w:tcW w:w="0" w:type="auto"/>
            <w:shd w:val="clear" w:color="auto" w:fill="auto"/>
            <w:vAlign w:val="center"/>
          </w:tcPr>
          <w:p w14:paraId="06680A76" w14:textId="3CBA899F" w:rsidR="00F83260" w:rsidRPr="004D3A24" w:rsidRDefault="00F83260" w:rsidP="00F83260">
            <w:pPr>
              <w:spacing w:beforeAutospacing="1" w:afterAutospacing="1"/>
              <w:jc w:val="center"/>
              <w:rPr>
                <w:color w:val="000000"/>
                <w:sz w:val="22"/>
                <w:szCs w:val="22"/>
              </w:rPr>
            </w:pPr>
            <w:r w:rsidRPr="004D3A24">
              <w:rPr>
                <w:color w:val="000000"/>
                <w:sz w:val="22"/>
                <w:szCs w:val="22"/>
              </w:rPr>
              <w:t>0%</w:t>
            </w:r>
          </w:p>
        </w:tc>
        <w:tc>
          <w:tcPr>
            <w:tcW w:w="0" w:type="auto"/>
            <w:shd w:val="clear" w:color="auto" w:fill="auto"/>
            <w:vAlign w:val="center"/>
          </w:tcPr>
          <w:p w14:paraId="6065F7AE" w14:textId="286E2677" w:rsidR="00F83260" w:rsidRPr="004D3A24" w:rsidRDefault="00F83260" w:rsidP="00F83260">
            <w:pPr>
              <w:spacing w:beforeAutospacing="1" w:afterAutospacing="1"/>
              <w:jc w:val="center"/>
              <w:rPr>
                <w:color w:val="000000"/>
                <w:sz w:val="22"/>
                <w:szCs w:val="22"/>
              </w:rPr>
            </w:pPr>
            <w:r w:rsidRPr="004D3A24">
              <w:rPr>
                <w:sz w:val="22"/>
                <w:szCs w:val="22"/>
              </w:rPr>
              <w:t>6</w:t>
            </w:r>
          </w:p>
        </w:tc>
        <w:tc>
          <w:tcPr>
            <w:tcW w:w="0" w:type="auto"/>
            <w:shd w:val="clear" w:color="auto" w:fill="auto"/>
            <w:vAlign w:val="center"/>
          </w:tcPr>
          <w:p w14:paraId="42DBAB7F" w14:textId="1C020AD9" w:rsidR="00F83260" w:rsidRPr="004D3A24" w:rsidRDefault="00F83260" w:rsidP="00F83260">
            <w:pPr>
              <w:spacing w:beforeAutospacing="1" w:afterAutospacing="1"/>
              <w:jc w:val="center"/>
              <w:rPr>
                <w:color w:val="000000"/>
                <w:sz w:val="22"/>
                <w:szCs w:val="22"/>
              </w:rPr>
            </w:pPr>
            <w:r w:rsidRPr="004D3A24">
              <w:rPr>
                <w:sz w:val="22"/>
                <w:szCs w:val="22"/>
              </w:rPr>
              <w:t>0</w:t>
            </w:r>
          </w:p>
        </w:tc>
        <w:tc>
          <w:tcPr>
            <w:tcW w:w="0" w:type="auto"/>
            <w:shd w:val="clear" w:color="auto" w:fill="auto"/>
            <w:vAlign w:val="center"/>
          </w:tcPr>
          <w:p w14:paraId="004F0673" w14:textId="1566F5E2" w:rsidR="00F83260" w:rsidRPr="004D3A24" w:rsidRDefault="00F83260" w:rsidP="00F83260">
            <w:pPr>
              <w:spacing w:beforeAutospacing="1" w:afterAutospacing="1"/>
              <w:jc w:val="center"/>
              <w:rPr>
                <w:color w:val="000000"/>
                <w:sz w:val="22"/>
                <w:szCs w:val="22"/>
              </w:rPr>
            </w:pPr>
            <w:r w:rsidRPr="004D3A24">
              <w:rPr>
                <w:sz w:val="22"/>
                <w:szCs w:val="22"/>
              </w:rPr>
              <w:t>0%</w:t>
            </w:r>
          </w:p>
        </w:tc>
      </w:tr>
      <w:tr w:rsidR="00F83260" w:rsidRPr="00767897" w14:paraId="0B918F91" w14:textId="77777777" w:rsidTr="00F83260">
        <w:trPr>
          <w:cantSplit/>
        </w:trPr>
        <w:tc>
          <w:tcPr>
            <w:tcW w:w="1549" w:type="dxa"/>
            <w:shd w:val="clear" w:color="auto" w:fill="auto"/>
            <w:vAlign w:val="center"/>
          </w:tcPr>
          <w:p w14:paraId="2C776100" w14:textId="07802EF2" w:rsidR="00F83260" w:rsidRPr="00853641" w:rsidRDefault="00F83260" w:rsidP="00F83260">
            <w:pPr>
              <w:spacing w:beforeAutospacing="1" w:afterAutospacing="1"/>
              <w:rPr>
                <w:color w:val="000000"/>
              </w:rPr>
            </w:pPr>
            <w:r w:rsidRPr="00853641">
              <w:rPr>
                <w:color w:val="000000"/>
                <w:sz w:val="22"/>
              </w:rPr>
              <w:t>Housing</w:t>
            </w:r>
          </w:p>
        </w:tc>
        <w:tc>
          <w:tcPr>
            <w:tcW w:w="1549" w:type="dxa"/>
            <w:shd w:val="clear" w:color="auto" w:fill="auto"/>
            <w:vAlign w:val="center"/>
          </w:tcPr>
          <w:p w14:paraId="7AD10B26" w14:textId="5B95BA5A" w:rsidR="00F83260" w:rsidRPr="00853641" w:rsidRDefault="00F83260" w:rsidP="00F83260">
            <w:pPr>
              <w:spacing w:beforeAutospacing="1" w:afterAutospacing="1"/>
              <w:rPr>
                <w:color w:val="000000"/>
              </w:rPr>
            </w:pPr>
            <w:r w:rsidRPr="00853641">
              <w:rPr>
                <w:color w:val="000000"/>
                <w:sz w:val="22"/>
              </w:rPr>
              <w:t>Affordable Housing</w:t>
            </w:r>
          </w:p>
        </w:tc>
        <w:tc>
          <w:tcPr>
            <w:tcW w:w="0" w:type="auto"/>
            <w:shd w:val="clear" w:color="auto" w:fill="auto"/>
            <w:vAlign w:val="center"/>
          </w:tcPr>
          <w:p w14:paraId="40A59BF4" w14:textId="328BBD26" w:rsidR="00F83260" w:rsidRPr="00853641" w:rsidRDefault="00F83260" w:rsidP="00F83260">
            <w:pPr>
              <w:spacing w:beforeAutospacing="1" w:afterAutospacing="1"/>
              <w:jc w:val="center"/>
              <w:rPr>
                <w:color w:val="000000"/>
              </w:rPr>
            </w:pPr>
            <w:r w:rsidRPr="00853641">
              <w:rPr>
                <w:color w:val="000000"/>
                <w:sz w:val="22"/>
              </w:rPr>
              <w:t>CDBG: $</w:t>
            </w:r>
            <w:r w:rsidR="00C40F3D" w:rsidRPr="00853641">
              <w:rPr>
                <w:color w:val="000000"/>
                <w:sz w:val="22"/>
              </w:rPr>
              <w:t>357,043</w:t>
            </w:r>
            <w:r w:rsidRPr="00853641">
              <w:rPr>
                <w:color w:val="000000"/>
                <w:sz w:val="22"/>
              </w:rPr>
              <w:t xml:space="preserve"> HOME: $</w:t>
            </w:r>
            <w:r w:rsidR="008B27E3" w:rsidRPr="00853641">
              <w:rPr>
                <w:color w:val="000000"/>
                <w:sz w:val="22"/>
              </w:rPr>
              <w:t>0</w:t>
            </w:r>
          </w:p>
        </w:tc>
        <w:tc>
          <w:tcPr>
            <w:tcW w:w="0" w:type="auto"/>
            <w:shd w:val="clear" w:color="auto" w:fill="auto"/>
            <w:vAlign w:val="center"/>
          </w:tcPr>
          <w:p w14:paraId="2C5CAFE4" w14:textId="168E137A" w:rsidR="00F83260" w:rsidRPr="00853641" w:rsidRDefault="00F83260" w:rsidP="00F83260">
            <w:pPr>
              <w:spacing w:beforeAutospacing="1" w:afterAutospacing="1"/>
              <w:jc w:val="center"/>
              <w:rPr>
                <w:color w:val="000000"/>
              </w:rPr>
            </w:pPr>
            <w:r w:rsidRPr="00853641">
              <w:rPr>
                <w:color w:val="000000"/>
                <w:sz w:val="22"/>
              </w:rPr>
              <w:t>Homeowner Housing Rehabilitated</w:t>
            </w:r>
          </w:p>
        </w:tc>
        <w:tc>
          <w:tcPr>
            <w:tcW w:w="0" w:type="auto"/>
            <w:shd w:val="clear" w:color="auto" w:fill="auto"/>
            <w:vAlign w:val="center"/>
          </w:tcPr>
          <w:p w14:paraId="7AD485E8" w14:textId="638DF1A1" w:rsidR="00F83260" w:rsidRPr="00853641" w:rsidRDefault="00F83260" w:rsidP="00F83260">
            <w:pPr>
              <w:spacing w:beforeAutospacing="1" w:afterAutospacing="1"/>
              <w:jc w:val="center"/>
              <w:rPr>
                <w:color w:val="000000"/>
              </w:rPr>
            </w:pPr>
            <w:r w:rsidRPr="00853641">
              <w:rPr>
                <w:color w:val="000000"/>
                <w:sz w:val="22"/>
              </w:rPr>
              <w:t>Household Housing Unit</w:t>
            </w:r>
          </w:p>
        </w:tc>
        <w:tc>
          <w:tcPr>
            <w:tcW w:w="0" w:type="auto"/>
            <w:shd w:val="clear" w:color="auto" w:fill="auto"/>
            <w:vAlign w:val="center"/>
          </w:tcPr>
          <w:p w14:paraId="46220B71" w14:textId="577BA42C" w:rsidR="00F83260" w:rsidRPr="00853641" w:rsidRDefault="00F83260" w:rsidP="00F83260">
            <w:pPr>
              <w:spacing w:beforeAutospacing="1" w:afterAutospacing="1"/>
              <w:jc w:val="center"/>
              <w:rPr>
                <w:color w:val="000000"/>
                <w:sz w:val="22"/>
                <w:szCs w:val="22"/>
              </w:rPr>
            </w:pPr>
            <w:r w:rsidRPr="00853641">
              <w:rPr>
                <w:color w:val="000000"/>
                <w:sz w:val="22"/>
                <w:szCs w:val="22"/>
              </w:rPr>
              <w:t>30</w:t>
            </w:r>
          </w:p>
        </w:tc>
        <w:tc>
          <w:tcPr>
            <w:tcW w:w="0" w:type="auto"/>
            <w:shd w:val="clear" w:color="auto" w:fill="auto"/>
            <w:vAlign w:val="center"/>
          </w:tcPr>
          <w:p w14:paraId="231DD920" w14:textId="3D562166" w:rsidR="00F83260" w:rsidRPr="00853641" w:rsidRDefault="00F83260" w:rsidP="00F83260">
            <w:pPr>
              <w:spacing w:beforeAutospacing="1" w:afterAutospacing="1"/>
              <w:jc w:val="center"/>
              <w:rPr>
                <w:color w:val="000000"/>
                <w:sz w:val="22"/>
                <w:szCs w:val="22"/>
              </w:rPr>
            </w:pPr>
            <w:r w:rsidRPr="00853641">
              <w:rPr>
                <w:color w:val="000000"/>
                <w:sz w:val="22"/>
                <w:szCs w:val="22"/>
              </w:rPr>
              <w:t>0</w:t>
            </w:r>
          </w:p>
        </w:tc>
        <w:tc>
          <w:tcPr>
            <w:tcW w:w="0" w:type="auto"/>
            <w:shd w:val="clear" w:color="auto" w:fill="auto"/>
            <w:vAlign w:val="center"/>
          </w:tcPr>
          <w:p w14:paraId="4B1F69C1" w14:textId="2C4C11BC" w:rsidR="00F83260" w:rsidRPr="00853641" w:rsidRDefault="00F83260" w:rsidP="00F83260">
            <w:pPr>
              <w:spacing w:beforeAutospacing="1" w:afterAutospacing="1"/>
              <w:jc w:val="center"/>
              <w:rPr>
                <w:color w:val="000000"/>
                <w:sz w:val="22"/>
                <w:szCs w:val="22"/>
              </w:rPr>
            </w:pPr>
            <w:r w:rsidRPr="00853641">
              <w:rPr>
                <w:color w:val="000000"/>
                <w:sz w:val="22"/>
                <w:szCs w:val="22"/>
              </w:rPr>
              <w:t>0.00%</w:t>
            </w:r>
          </w:p>
        </w:tc>
        <w:tc>
          <w:tcPr>
            <w:tcW w:w="0" w:type="auto"/>
            <w:shd w:val="clear" w:color="auto" w:fill="auto"/>
            <w:vAlign w:val="center"/>
          </w:tcPr>
          <w:p w14:paraId="0F28F5BF" w14:textId="33346E1E" w:rsidR="00F83260" w:rsidRPr="00853641" w:rsidRDefault="005E0F42" w:rsidP="00F83260">
            <w:pPr>
              <w:spacing w:beforeAutospacing="1" w:afterAutospacing="1"/>
              <w:jc w:val="center"/>
              <w:rPr>
                <w:sz w:val="22"/>
                <w:szCs w:val="22"/>
              </w:rPr>
            </w:pPr>
            <w:r>
              <w:rPr>
                <w:color w:val="000000"/>
                <w:sz w:val="22"/>
                <w:szCs w:val="22"/>
              </w:rPr>
              <w:t>4</w:t>
            </w:r>
          </w:p>
        </w:tc>
        <w:tc>
          <w:tcPr>
            <w:tcW w:w="0" w:type="auto"/>
            <w:shd w:val="clear" w:color="auto" w:fill="auto"/>
            <w:vAlign w:val="center"/>
          </w:tcPr>
          <w:p w14:paraId="316851B1" w14:textId="0B760CDE" w:rsidR="00F83260" w:rsidRPr="00853641" w:rsidRDefault="005E0F42" w:rsidP="00F83260">
            <w:pPr>
              <w:spacing w:beforeAutospacing="1" w:afterAutospacing="1"/>
              <w:jc w:val="center"/>
              <w:rPr>
                <w:sz w:val="22"/>
                <w:szCs w:val="22"/>
              </w:rPr>
            </w:pPr>
            <w:r>
              <w:rPr>
                <w:color w:val="000000"/>
                <w:sz w:val="22"/>
                <w:szCs w:val="22"/>
              </w:rPr>
              <w:t>2</w:t>
            </w:r>
          </w:p>
        </w:tc>
        <w:tc>
          <w:tcPr>
            <w:tcW w:w="0" w:type="auto"/>
            <w:shd w:val="clear" w:color="auto" w:fill="auto"/>
            <w:vAlign w:val="center"/>
          </w:tcPr>
          <w:p w14:paraId="0A12BAB6" w14:textId="092ADCBA" w:rsidR="00F83260" w:rsidRPr="00853641" w:rsidRDefault="005E0F42" w:rsidP="00F83260">
            <w:pPr>
              <w:spacing w:beforeAutospacing="1" w:afterAutospacing="1"/>
              <w:jc w:val="center"/>
              <w:rPr>
                <w:sz w:val="22"/>
                <w:szCs w:val="22"/>
              </w:rPr>
            </w:pPr>
            <w:r>
              <w:rPr>
                <w:color w:val="000000"/>
                <w:sz w:val="22"/>
                <w:szCs w:val="22"/>
              </w:rPr>
              <w:t>50</w:t>
            </w:r>
            <w:r w:rsidR="00F83260" w:rsidRPr="00853641">
              <w:rPr>
                <w:color w:val="000000"/>
                <w:sz w:val="22"/>
                <w:szCs w:val="22"/>
              </w:rPr>
              <w:t>%</w:t>
            </w:r>
          </w:p>
        </w:tc>
      </w:tr>
      <w:tr w:rsidR="00AA6BF1" w:rsidRPr="002A0451" w14:paraId="14B093F7" w14:textId="77777777" w:rsidTr="00F83260">
        <w:trPr>
          <w:cantSplit/>
        </w:trPr>
        <w:tc>
          <w:tcPr>
            <w:tcW w:w="1549" w:type="dxa"/>
            <w:shd w:val="clear" w:color="auto" w:fill="auto"/>
            <w:vAlign w:val="center"/>
          </w:tcPr>
          <w:p w14:paraId="082F05E7" w14:textId="77777777" w:rsidR="00AA6BF1" w:rsidRPr="002A0451" w:rsidRDefault="00AA6BF1" w:rsidP="00AA6BF1">
            <w:pPr>
              <w:spacing w:beforeAutospacing="1" w:afterAutospacing="1"/>
            </w:pPr>
            <w:r w:rsidRPr="002A0451">
              <w:rPr>
                <w:color w:val="000000"/>
                <w:sz w:val="22"/>
              </w:rPr>
              <w:t>Economic Development</w:t>
            </w:r>
          </w:p>
        </w:tc>
        <w:tc>
          <w:tcPr>
            <w:tcW w:w="1549" w:type="dxa"/>
            <w:shd w:val="clear" w:color="auto" w:fill="auto"/>
            <w:vAlign w:val="center"/>
          </w:tcPr>
          <w:p w14:paraId="0F023727" w14:textId="77777777" w:rsidR="00AA6BF1" w:rsidRPr="002A0451" w:rsidRDefault="00AA6BF1" w:rsidP="00AA6BF1">
            <w:pPr>
              <w:spacing w:beforeAutospacing="1" w:afterAutospacing="1"/>
            </w:pPr>
            <w:r w:rsidRPr="002A0451">
              <w:rPr>
                <w:color w:val="000000"/>
                <w:sz w:val="22"/>
              </w:rPr>
              <w:t>Non-Housing Community Development</w:t>
            </w:r>
          </w:p>
        </w:tc>
        <w:tc>
          <w:tcPr>
            <w:tcW w:w="0" w:type="auto"/>
            <w:shd w:val="clear" w:color="auto" w:fill="auto"/>
            <w:vAlign w:val="center"/>
          </w:tcPr>
          <w:p w14:paraId="630A8A8A" w14:textId="18E27E54" w:rsidR="00AA6BF1" w:rsidRPr="002A0451" w:rsidRDefault="00AA6BF1" w:rsidP="00AA6BF1">
            <w:pPr>
              <w:spacing w:beforeAutospacing="1" w:afterAutospacing="1"/>
              <w:jc w:val="center"/>
            </w:pPr>
            <w:r w:rsidRPr="002A0451">
              <w:rPr>
                <w:color w:val="000000"/>
                <w:sz w:val="22"/>
              </w:rPr>
              <w:t>CDBG: $0</w:t>
            </w:r>
          </w:p>
        </w:tc>
        <w:tc>
          <w:tcPr>
            <w:tcW w:w="0" w:type="auto"/>
            <w:shd w:val="clear" w:color="auto" w:fill="auto"/>
            <w:vAlign w:val="center"/>
          </w:tcPr>
          <w:p w14:paraId="2671B2E4" w14:textId="77777777" w:rsidR="00AA6BF1" w:rsidRPr="002A0451" w:rsidRDefault="00AA6BF1" w:rsidP="00AA6BF1">
            <w:pPr>
              <w:spacing w:beforeAutospacing="1" w:afterAutospacing="1"/>
              <w:jc w:val="center"/>
            </w:pPr>
            <w:r w:rsidRPr="002A0451">
              <w:rPr>
                <w:color w:val="000000"/>
                <w:sz w:val="22"/>
              </w:rPr>
              <w:t>Jobs created/retained</w:t>
            </w:r>
          </w:p>
        </w:tc>
        <w:tc>
          <w:tcPr>
            <w:tcW w:w="0" w:type="auto"/>
            <w:shd w:val="clear" w:color="auto" w:fill="auto"/>
            <w:vAlign w:val="center"/>
          </w:tcPr>
          <w:p w14:paraId="72E897BC" w14:textId="77777777" w:rsidR="00AA6BF1" w:rsidRPr="002A0451" w:rsidRDefault="00AA6BF1" w:rsidP="00AA6BF1">
            <w:pPr>
              <w:spacing w:beforeAutospacing="1" w:afterAutospacing="1"/>
              <w:jc w:val="center"/>
            </w:pPr>
            <w:r w:rsidRPr="002A0451">
              <w:rPr>
                <w:color w:val="000000"/>
                <w:sz w:val="22"/>
              </w:rPr>
              <w:t>Jobs</w:t>
            </w:r>
          </w:p>
        </w:tc>
        <w:tc>
          <w:tcPr>
            <w:tcW w:w="0" w:type="auto"/>
            <w:shd w:val="clear" w:color="auto" w:fill="auto"/>
            <w:vAlign w:val="center"/>
          </w:tcPr>
          <w:p w14:paraId="60120F5D" w14:textId="77777777" w:rsidR="00AA6BF1" w:rsidRPr="002A0451" w:rsidRDefault="00AA6BF1" w:rsidP="00AA6BF1">
            <w:pPr>
              <w:spacing w:beforeAutospacing="1" w:afterAutospacing="1"/>
              <w:jc w:val="center"/>
            </w:pPr>
            <w:r w:rsidRPr="002A0451">
              <w:rPr>
                <w:color w:val="000000"/>
                <w:sz w:val="22"/>
              </w:rPr>
              <w:t>140</w:t>
            </w:r>
          </w:p>
        </w:tc>
        <w:tc>
          <w:tcPr>
            <w:tcW w:w="0" w:type="auto"/>
            <w:shd w:val="clear" w:color="auto" w:fill="auto"/>
            <w:vAlign w:val="center"/>
          </w:tcPr>
          <w:p w14:paraId="2FE45D98" w14:textId="77777777" w:rsidR="00AA6BF1" w:rsidRPr="002A0451" w:rsidRDefault="00AA6BF1" w:rsidP="00AA6BF1">
            <w:pPr>
              <w:spacing w:beforeAutospacing="1" w:afterAutospacing="1"/>
              <w:jc w:val="center"/>
              <w:rPr>
                <w:sz w:val="22"/>
                <w:szCs w:val="22"/>
              </w:rPr>
            </w:pPr>
            <w:r w:rsidRPr="002A0451">
              <w:rPr>
                <w:color w:val="000000"/>
                <w:sz w:val="22"/>
                <w:szCs w:val="22"/>
              </w:rPr>
              <w:t>0</w:t>
            </w:r>
          </w:p>
        </w:tc>
        <w:tc>
          <w:tcPr>
            <w:tcW w:w="0" w:type="auto"/>
            <w:shd w:val="clear" w:color="auto" w:fill="auto"/>
            <w:vAlign w:val="center"/>
          </w:tcPr>
          <w:p w14:paraId="66E75EE4" w14:textId="2F70AA5D" w:rsidR="00AA6BF1" w:rsidRPr="002A0451" w:rsidRDefault="00AA6BF1" w:rsidP="00AA6BF1">
            <w:pPr>
              <w:spacing w:beforeAutospacing="1" w:afterAutospacing="1"/>
              <w:jc w:val="center"/>
              <w:rPr>
                <w:sz w:val="22"/>
                <w:szCs w:val="22"/>
              </w:rPr>
            </w:pPr>
            <w:r w:rsidRPr="002A0451">
              <w:rPr>
                <w:color w:val="000000"/>
                <w:sz w:val="22"/>
                <w:szCs w:val="22"/>
              </w:rPr>
              <w:t>0.00%</w:t>
            </w:r>
          </w:p>
        </w:tc>
        <w:tc>
          <w:tcPr>
            <w:tcW w:w="0" w:type="auto"/>
            <w:shd w:val="clear" w:color="auto" w:fill="auto"/>
            <w:vAlign w:val="center"/>
          </w:tcPr>
          <w:p w14:paraId="55304664" w14:textId="7B255B7A" w:rsidR="00AA6BF1" w:rsidRPr="002A0451" w:rsidRDefault="00AA6BF1" w:rsidP="00AA6BF1">
            <w:pPr>
              <w:spacing w:beforeAutospacing="1" w:afterAutospacing="1"/>
              <w:jc w:val="center"/>
              <w:rPr>
                <w:sz w:val="22"/>
                <w:szCs w:val="22"/>
              </w:rPr>
            </w:pPr>
            <w:r w:rsidRPr="002A0451">
              <w:rPr>
                <w:sz w:val="22"/>
                <w:szCs w:val="22"/>
              </w:rPr>
              <w:t>N/A</w:t>
            </w:r>
          </w:p>
        </w:tc>
        <w:tc>
          <w:tcPr>
            <w:tcW w:w="0" w:type="auto"/>
            <w:shd w:val="clear" w:color="auto" w:fill="auto"/>
            <w:vAlign w:val="center"/>
          </w:tcPr>
          <w:p w14:paraId="380943F1" w14:textId="2D899553" w:rsidR="00AA6BF1" w:rsidRPr="002A0451" w:rsidRDefault="00AA6BF1" w:rsidP="00AA6BF1">
            <w:pPr>
              <w:spacing w:beforeAutospacing="1" w:afterAutospacing="1"/>
              <w:jc w:val="center"/>
              <w:rPr>
                <w:sz w:val="22"/>
                <w:szCs w:val="22"/>
              </w:rPr>
            </w:pPr>
            <w:r w:rsidRPr="002A0451">
              <w:rPr>
                <w:sz w:val="22"/>
                <w:szCs w:val="22"/>
              </w:rPr>
              <w:t>N/A</w:t>
            </w:r>
          </w:p>
        </w:tc>
        <w:tc>
          <w:tcPr>
            <w:tcW w:w="0" w:type="auto"/>
            <w:shd w:val="clear" w:color="auto" w:fill="auto"/>
            <w:vAlign w:val="center"/>
          </w:tcPr>
          <w:p w14:paraId="568057AE" w14:textId="46F3FA9F" w:rsidR="00AA6BF1" w:rsidRPr="002A0451" w:rsidRDefault="00AA6BF1" w:rsidP="00AA6BF1">
            <w:pPr>
              <w:spacing w:beforeAutospacing="1" w:afterAutospacing="1"/>
              <w:jc w:val="center"/>
              <w:rPr>
                <w:sz w:val="22"/>
                <w:szCs w:val="22"/>
              </w:rPr>
            </w:pPr>
            <w:r w:rsidRPr="002A0451">
              <w:rPr>
                <w:sz w:val="22"/>
                <w:szCs w:val="22"/>
              </w:rPr>
              <w:t>N/A</w:t>
            </w:r>
          </w:p>
        </w:tc>
      </w:tr>
    </w:tbl>
    <w:p w14:paraId="61A91EED" w14:textId="6A811944" w:rsidR="00BE059B" w:rsidRPr="002A0451" w:rsidRDefault="00FB5456" w:rsidP="00A23BD2">
      <w:pPr>
        <w:pStyle w:val="Caption"/>
        <w:jc w:val="center"/>
        <w:rPr>
          <w:rFonts w:asciiTheme="minorHAnsi" w:hAnsiTheme="minorHAnsi"/>
        </w:rPr>
      </w:pPr>
      <w:r w:rsidRPr="002A0451">
        <w:rPr>
          <w:rFonts w:asciiTheme="minorHAnsi" w:hAnsiTheme="minorHAnsi"/>
        </w:rPr>
        <w:t xml:space="preserve">Table </w:t>
      </w:r>
      <w:r w:rsidRPr="002A0451">
        <w:rPr>
          <w:rFonts w:asciiTheme="minorHAnsi" w:hAnsiTheme="minorHAnsi"/>
        </w:rPr>
        <w:fldChar w:fldCharType="begin"/>
      </w:r>
      <w:r w:rsidRPr="002A0451">
        <w:rPr>
          <w:rFonts w:asciiTheme="minorHAnsi" w:hAnsiTheme="minorHAnsi"/>
        </w:rPr>
        <w:instrText xml:space="preserve"> SEQ Table \* ARABIC </w:instrText>
      </w:r>
      <w:r w:rsidRPr="002A0451">
        <w:rPr>
          <w:rFonts w:asciiTheme="minorHAnsi" w:hAnsiTheme="minorHAnsi"/>
        </w:rPr>
        <w:fldChar w:fldCharType="separate"/>
      </w:r>
      <w:r w:rsidRPr="002A0451">
        <w:rPr>
          <w:rFonts w:asciiTheme="minorHAnsi" w:hAnsiTheme="minorHAnsi"/>
        </w:rPr>
        <w:t>1</w:t>
      </w:r>
      <w:r w:rsidRPr="002A0451">
        <w:rPr>
          <w:rFonts w:asciiTheme="minorHAnsi" w:hAnsiTheme="minorHAnsi"/>
        </w:rPr>
        <w:fldChar w:fldCharType="end"/>
      </w:r>
      <w:r w:rsidRPr="002A0451">
        <w:rPr>
          <w:rFonts w:asciiTheme="minorHAnsi" w:hAnsiTheme="minorHAnsi"/>
        </w:rPr>
        <w:t xml:space="preserve"> - Accomplishments – Program Year &amp; Strategic Plan to Date</w:t>
      </w:r>
    </w:p>
    <w:p w14:paraId="30146402" w14:textId="77777777" w:rsidR="00BE059B" w:rsidRPr="00767897" w:rsidRDefault="00BE059B">
      <w:pPr>
        <w:spacing w:after="0" w:line="240" w:lineRule="auto"/>
        <w:rPr>
          <w:highlight w:val="yellow"/>
        </w:rPr>
      </w:pPr>
    </w:p>
    <w:p w14:paraId="194D6883" w14:textId="7F13A0F4" w:rsidR="00BE059B" w:rsidRPr="0089131D" w:rsidRDefault="00FB5456">
      <w:pPr>
        <w:keepNext/>
        <w:widowControl w:val="0"/>
        <w:rPr>
          <w:b/>
          <w:sz w:val="24"/>
          <w:szCs w:val="24"/>
        </w:rPr>
      </w:pPr>
      <w:r w:rsidRPr="0089131D">
        <w:rPr>
          <w:b/>
          <w:sz w:val="24"/>
          <w:szCs w:val="24"/>
        </w:rPr>
        <w:lastRenderedPageBreak/>
        <w:t>Assess how the jurisdiction’s use of funds, particularly CDBG, addresses the priorities and specific objectives identified in the plan, giving special attention to the highest priority activities identified.</w:t>
      </w:r>
    </w:p>
    <w:p w14:paraId="1A29C723" w14:textId="77777777" w:rsidR="00E772FD" w:rsidRPr="002C2304" w:rsidRDefault="007C1CFA" w:rsidP="00FA00CE">
      <w:pPr>
        <w:keepNext/>
        <w:widowControl w:val="0"/>
        <w:spacing w:after="0" w:line="240" w:lineRule="auto"/>
        <w:rPr>
          <w:bCs/>
          <w:sz w:val="24"/>
          <w:szCs w:val="24"/>
        </w:rPr>
      </w:pPr>
      <w:r w:rsidRPr="0089131D">
        <w:rPr>
          <w:bCs/>
          <w:sz w:val="24"/>
          <w:szCs w:val="24"/>
        </w:rPr>
        <w:t xml:space="preserve">For FY </w:t>
      </w:r>
      <w:r w:rsidR="004860C2" w:rsidRPr="0089131D">
        <w:rPr>
          <w:bCs/>
          <w:sz w:val="24"/>
          <w:szCs w:val="24"/>
        </w:rPr>
        <w:t>202</w:t>
      </w:r>
      <w:r w:rsidR="005642B5" w:rsidRPr="0089131D">
        <w:rPr>
          <w:bCs/>
          <w:sz w:val="24"/>
          <w:szCs w:val="24"/>
        </w:rPr>
        <w:t>3</w:t>
      </w:r>
      <w:r w:rsidR="004860C2" w:rsidRPr="0089131D">
        <w:rPr>
          <w:bCs/>
          <w:sz w:val="24"/>
          <w:szCs w:val="24"/>
        </w:rPr>
        <w:t>-202</w:t>
      </w:r>
      <w:r w:rsidR="005642B5" w:rsidRPr="0089131D">
        <w:rPr>
          <w:bCs/>
          <w:sz w:val="24"/>
          <w:szCs w:val="24"/>
        </w:rPr>
        <w:t>4</w:t>
      </w:r>
      <w:r w:rsidRPr="0089131D">
        <w:rPr>
          <w:bCs/>
          <w:sz w:val="24"/>
          <w:szCs w:val="24"/>
        </w:rPr>
        <w:t xml:space="preserve"> the City </w:t>
      </w:r>
      <w:r w:rsidR="005642B5" w:rsidRPr="0089131D">
        <w:rPr>
          <w:bCs/>
          <w:sz w:val="24"/>
          <w:szCs w:val="24"/>
        </w:rPr>
        <w:t xml:space="preserve">allocated funding towards activities that could directly positively impact </w:t>
      </w:r>
      <w:r w:rsidR="00F4539A" w:rsidRPr="0089131D">
        <w:rPr>
          <w:bCs/>
          <w:sz w:val="24"/>
          <w:szCs w:val="24"/>
        </w:rPr>
        <w:t xml:space="preserve">its residents in need by funding public service activities that included </w:t>
      </w:r>
      <w:r w:rsidR="0051451B" w:rsidRPr="0089131D">
        <w:rPr>
          <w:bCs/>
          <w:sz w:val="24"/>
          <w:szCs w:val="24"/>
        </w:rPr>
        <w:t xml:space="preserve">fair housing services, </w:t>
      </w:r>
      <w:r w:rsidR="00505594" w:rsidRPr="0089131D">
        <w:rPr>
          <w:bCs/>
          <w:sz w:val="24"/>
          <w:szCs w:val="24"/>
        </w:rPr>
        <w:t xml:space="preserve">a </w:t>
      </w:r>
      <w:r w:rsidR="0051451B" w:rsidRPr="0089131D">
        <w:rPr>
          <w:bCs/>
          <w:sz w:val="24"/>
          <w:szCs w:val="24"/>
        </w:rPr>
        <w:t xml:space="preserve">youth development program, </w:t>
      </w:r>
      <w:r w:rsidR="0088088C" w:rsidRPr="0089131D">
        <w:rPr>
          <w:bCs/>
          <w:sz w:val="24"/>
          <w:szCs w:val="24"/>
        </w:rPr>
        <w:t>graffiti abatement services, disability service</w:t>
      </w:r>
      <w:r w:rsidR="003D4CC4" w:rsidRPr="0089131D">
        <w:rPr>
          <w:bCs/>
          <w:sz w:val="24"/>
          <w:szCs w:val="24"/>
        </w:rPr>
        <w:t xml:space="preserve"> program, and resources for those experiencing domestic violence. Along with these programs, the City </w:t>
      </w:r>
      <w:r w:rsidR="00440347" w:rsidRPr="0089131D">
        <w:rPr>
          <w:bCs/>
          <w:sz w:val="24"/>
          <w:szCs w:val="24"/>
        </w:rPr>
        <w:t xml:space="preserve">also allocated funds towards activities that </w:t>
      </w:r>
      <w:r w:rsidR="00172204" w:rsidRPr="0089131D">
        <w:rPr>
          <w:bCs/>
          <w:sz w:val="24"/>
          <w:szCs w:val="24"/>
        </w:rPr>
        <w:t xml:space="preserve">will assist in the maintenance of </w:t>
      </w:r>
      <w:r w:rsidR="00DA6C9B" w:rsidRPr="0089131D">
        <w:rPr>
          <w:bCs/>
          <w:sz w:val="24"/>
          <w:szCs w:val="24"/>
        </w:rPr>
        <w:t xml:space="preserve">its housing stock via a Neighborhood Revitalization Program and </w:t>
      </w:r>
      <w:r w:rsidR="0073079C" w:rsidRPr="0089131D">
        <w:rPr>
          <w:bCs/>
          <w:sz w:val="24"/>
          <w:szCs w:val="24"/>
        </w:rPr>
        <w:t xml:space="preserve">activities that assists local businesses while preserving commercial corridors in the City via its </w:t>
      </w:r>
      <w:r w:rsidR="00453FFD" w:rsidRPr="0089131D">
        <w:rPr>
          <w:bCs/>
          <w:i/>
          <w:iCs/>
          <w:sz w:val="24"/>
          <w:szCs w:val="24"/>
        </w:rPr>
        <w:t xml:space="preserve">Commercial Façade </w:t>
      </w:r>
      <w:r w:rsidR="00453FFD" w:rsidRPr="0089131D">
        <w:rPr>
          <w:bCs/>
          <w:sz w:val="24"/>
          <w:szCs w:val="24"/>
        </w:rPr>
        <w:t xml:space="preserve">program </w:t>
      </w:r>
      <w:r w:rsidR="00D21405" w:rsidRPr="0089131D">
        <w:rPr>
          <w:bCs/>
          <w:sz w:val="24"/>
          <w:szCs w:val="24"/>
        </w:rPr>
        <w:t xml:space="preserve">and a </w:t>
      </w:r>
      <w:r w:rsidR="00D21405" w:rsidRPr="0089131D">
        <w:rPr>
          <w:bCs/>
          <w:i/>
          <w:iCs/>
          <w:sz w:val="24"/>
          <w:szCs w:val="24"/>
        </w:rPr>
        <w:t xml:space="preserve">Business Sign </w:t>
      </w:r>
      <w:r w:rsidR="00D21405" w:rsidRPr="0089131D">
        <w:rPr>
          <w:bCs/>
          <w:sz w:val="24"/>
          <w:szCs w:val="24"/>
        </w:rPr>
        <w:t>program</w:t>
      </w:r>
      <w:r w:rsidR="0050475D" w:rsidRPr="0089131D">
        <w:rPr>
          <w:bCs/>
          <w:sz w:val="24"/>
          <w:szCs w:val="24"/>
        </w:rPr>
        <w:t xml:space="preserve">. </w:t>
      </w:r>
      <w:r w:rsidR="00BF195C" w:rsidRPr="0089131D">
        <w:rPr>
          <w:bCs/>
          <w:sz w:val="24"/>
          <w:szCs w:val="24"/>
        </w:rPr>
        <w:t>After reviewing these three latter programs, the</w:t>
      </w:r>
      <w:r w:rsidR="0050475D" w:rsidRPr="0089131D">
        <w:rPr>
          <w:bCs/>
          <w:sz w:val="24"/>
          <w:szCs w:val="24"/>
        </w:rPr>
        <w:t xml:space="preserve"> City </w:t>
      </w:r>
      <w:r w:rsidR="00987F4E" w:rsidRPr="0089131D">
        <w:rPr>
          <w:bCs/>
          <w:sz w:val="24"/>
          <w:szCs w:val="24"/>
        </w:rPr>
        <w:t xml:space="preserve">felt that they were due for a </w:t>
      </w:r>
      <w:r w:rsidR="00301F81" w:rsidRPr="0089131D">
        <w:rPr>
          <w:bCs/>
          <w:sz w:val="24"/>
          <w:szCs w:val="24"/>
        </w:rPr>
        <w:t>revamp</w:t>
      </w:r>
      <w:r w:rsidR="00987F4E" w:rsidRPr="0089131D">
        <w:rPr>
          <w:bCs/>
          <w:sz w:val="24"/>
          <w:szCs w:val="24"/>
        </w:rPr>
        <w:t xml:space="preserve"> and worked to establishing and revising program guidelines and processes t</w:t>
      </w:r>
      <w:r w:rsidR="00EC042E" w:rsidRPr="0089131D">
        <w:rPr>
          <w:bCs/>
          <w:sz w:val="24"/>
          <w:szCs w:val="24"/>
        </w:rPr>
        <w:t xml:space="preserve">o ensure that the programs ran effectively and efficiently; revamping these programs caused delays in the program delivery but </w:t>
      </w:r>
      <w:r w:rsidR="0089131D" w:rsidRPr="0089131D">
        <w:rPr>
          <w:bCs/>
          <w:sz w:val="24"/>
          <w:szCs w:val="24"/>
        </w:rPr>
        <w:t xml:space="preserve">processes are now set so that the programs can run more efficiently in the next program years. </w:t>
      </w:r>
      <w:r w:rsidR="00E772FD" w:rsidRPr="00E772FD">
        <w:rPr>
          <w:bCs/>
          <w:sz w:val="24"/>
          <w:szCs w:val="24"/>
        </w:rPr>
        <w:t>However, the</w:t>
      </w:r>
      <w:r w:rsidR="00FA00CE" w:rsidRPr="00E772FD">
        <w:rPr>
          <w:bCs/>
          <w:sz w:val="24"/>
          <w:szCs w:val="24"/>
        </w:rPr>
        <w:t xml:space="preserve"> City was able to complete </w:t>
      </w:r>
      <w:r w:rsidR="00E772FD" w:rsidRPr="00E772FD">
        <w:rPr>
          <w:bCs/>
          <w:sz w:val="24"/>
          <w:szCs w:val="24"/>
        </w:rPr>
        <w:t>two</w:t>
      </w:r>
      <w:r w:rsidR="00FA00CE" w:rsidRPr="00E772FD">
        <w:rPr>
          <w:bCs/>
          <w:sz w:val="24"/>
          <w:szCs w:val="24"/>
        </w:rPr>
        <w:t xml:space="preserve"> (</w:t>
      </w:r>
      <w:r w:rsidR="00E772FD" w:rsidRPr="00E772FD">
        <w:rPr>
          <w:bCs/>
          <w:sz w:val="24"/>
          <w:szCs w:val="24"/>
        </w:rPr>
        <w:t>2</w:t>
      </w:r>
      <w:r w:rsidR="00FA00CE" w:rsidRPr="00E772FD">
        <w:rPr>
          <w:bCs/>
          <w:sz w:val="24"/>
          <w:szCs w:val="24"/>
        </w:rPr>
        <w:t>) commercial rehabilitation pro</w:t>
      </w:r>
      <w:r w:rsidR="00E772FD" w:rsidRPr="00E772FD">
        <w:rPr>
          <w:bCs/>
          <w:sz w:val="24"/>
          <w:szCs w:val="24"/>
        </w:rPr>
        <w:t xml:space="preserve">jects that </w:t>
      </w:r>
      <w:r w:rsidR="00E772FD" w:rsidRPr="002C2304">
        <w:rPr>
          <w:bCs/>
          <w:sz w:val="24"/>
          <w:szCs w:val="24"/>
        </w:rPr>
        <w:t>were started in previous program years.</w:t>
      </w:r>
    </w:p>
    <w:p w14:paraId="547F1918" w14:textId="77777777" w:rsidR="009008B4" w:rsidRPr="002C2304" w:rsidRDefault="009008B4" w:rsidP="00FA00CE">
      <w:pPr>
        <w:keepNext/>
        <w:widowControl w:val="0"/>
        <w:spacing w:after="0" w:line="240" w:lineRule="auto"/>
        <w:rPr>
          <w:bCs/>
          <w:sz w:val="24"/>
          <w:szCs w:val="24"/>
        </w:rPr>
      </w:pPr>
    </w:p>
    <w:p w14:paraId="2B4C9960" w14:textId="280F9D1D" w:rsidR="009008B4" w:rsidRPr="002C2304" w:rsidRDefault="009008B4" w:rsidP="009008B4">
      <w:pPr>
        <w:keepNext/>
        <w:widowControl w:val="0"/>
        <w:spacing w:after="0" w:line="240" w:lineRule="auto"/>
        <w:rPr>
          <w:bCs/>
          <w:sz w:val="24"/>
          <w:szCs w:val="24"/>
        </w:rPr>
      </w:pPr>
      <w:r w:rsidRPr="002C2304">
        <w:rPr>
          <w:bCs/>
          <w:sz w:val="24"/>
          <w:szCs w:val="24"/>
        </w:rPr>
        <w:t>The City partners with the Fair Housing Foundation to provide fair housing services to its residents. During the program year the Fair Housing Foundation assisted 3</w:t>
      </w:r>
      <w:r w:rsidR="002C2304" w:rsidRPr="002C2304">
        <w:rPr>
          <w:bCs/>
          <w:sz w:val="24"/>
          <w:szCs w:val="24"/>
        </w:rPr>
        <w:t>06</w:t>
      </w:r>
      <w:r w:rsidRPr="002C2304">
        <w:rPr>
          <w:bCs/>
          <w:sz w:val="24"/>
          <w:szCs w:val="24"/>
        </w:rPr>
        <w:t xml:space="preserve"> unduplicated South Gate residents with housing issues like rent increases, evictions fair housing. They also provided information via workshops and by dropping off information at the library and with organizations in the area.  </w:t>
      </w:r>
    </w:p>
    <w:p w14:paraId="7596A579" w14:textId="77777777" w:rsidR="00E772FD" w:rsidRPr="00E772FD" w:rsidRDefault="00E772FD" w:rsidP="00FA00CE">
      <w:pPr>
        <w:keepNext/>
        <w:widowControl w:val="0"/>
        <w:spacing w:after="0" w:line="240" w:lineRule="auto"/>
        <w:rPr>
          <w:bCs/>
          <w:sz w:val="24"/>
          <w:szCs w:val="24"/>
        </w:rPr>
      </w:pPr>
    </w:p>
    <w:p w14:paraId="56604B42" w14:textId="2F5703CD" w:rsidR="00FA00CE" w:rsidRPr="00E772FD" w:rsidRDefault="00FA00CE" w:rsidP="00FA00CE">
      <w:pPr>
        <w:keepNext/>
        <w:widowControl w:val="0"/>
        <w:spacing w:after="0" w:line="240" w:lineRule="auto"/>
        <w:rPr>
          <w:bCs/>
          <w:sz w:val="24"/>
          <w:szCs w:val="24"/>
        </w:rPr>
      </w:pPr>
      <w:r w:rsidRPr="00E772FD">
        <w:rPr>
          <w:bCs/>
          <w:sz w:val="24"/>
          <w:szCs w:val="24"/>
        </w:rPr>
        <w:t xml:space="preserve">HOME rehabilitations </w:t>
      </w:r>
      <w:r w:rsidR="00495CA9" w:rsidRPr="00E772FD">
        <w:rPr>
          <w:bCs/>
          <w:sz w:val="24"/>
          <w:szCs w:val="24"/>
        </w:rPr>
        <w:t>continue to be</w:t>
      </w:r>
      <w:r w:rsidRPr="00E772FD">
        <w:rPr>
          <w:bCs/>
          <w:sz w:val="24"/>
          <w:szCs w:val="24"/>
        </w:rPr>
        <w:t xml:space="preserve"> a challenge for the City to complete. One of the main challenges is that the rehabilitation value for homes is lower than the current house values for the City, making many of applicants ineligible for the Home Rehabilitation Program ineligible. </w:t>
      </w:r>
    </w:p>
    <w:p w14:paraId="524B1DE6" w14:textId="77777777" w:rsidR="00FA00CE" w:rsidRPr="00767897" w:rsidRDefault="00FA00CE" w:rsidP="007C1CFA">
      <w:pPr>
        <w:keepNext/>
        <w:widowControl w:val="0"/>
        <w:spacing w:after="0" w:line="240" w:lineRule="auto"/>
        <w:rPr>
          <w:bCs/>
          <w:sz w:val="24"/>
          <w:szCs w:val="24"/>
          <w:highlight w:val="yellow"/>
        </w:rPr>
      </w:pPr>
    </w:p>
    <w:p w14:paraId="279CB7BD" w14:textId="77777777" w:rsidR="00C528DE" w:rsidRPr="00767897" w:rsidRDefault="00C528DE" w:rsidP="007C1CFA">
      <w:pPr>
        <w:keepNext/>
        <w:widowControl w:val="0"/>
        <w:spacing w:after="0" w:line="240" w:lineRule="auto"/>
        <w:rPr>
          <w:bCs/>
          <w:sz w:val="24"/>
          <w:szCs w:val="24"/>
          <w:highlight w:val="yellow"/>
        </w:rPr>
      </w:pPr>
    </w:p>
    <w:p w14:paraId="4FF76A6B" w14:textId="77777777" w:rsidR="00C528DE" w:rsidRPr="00767897" w:rsidRDefault="00C528DE" w:rsidP="007C1CFA">
      <w:pPr>
        <w:keepNext/>
        <w:widowControl w:val="0"/>
        <w:spacing w:after="0" w:line="240" w:lineRule="auto"/>
        <w:rPr>
          <w:bCs/>
          <w:sz w:val="24"/>
          <w:szCs w:val="24"/>
          <w:highlight w:val="yellow"/>
        </w:rPr>
      </w:pPr>
    </w:p>
    <w:p w14:paraId="2F12B75D" w14:textId="77777777" w:rsidR="007C1CFA" w:rsidRPr="00767897" w:rsidRDefault="007C1CFA">
      <w:pPr>
        <w:keepNext/>
        <w:widowControl w:val="0"/>
        <w:rPr>
          <w:b/>
          <w:sz w:val="24"/>
          <w:szCs w:val="24"/>
          <w:highlight w:val="yellow"/>
        </w:rPr>
      </w:pPr>
    </w:p>
    <w:p w14:paraId="49AF1D84" w14:textId="77777777" w:rsidR="00BE059B" w:rsidRPr="00767897" w:rsidRDefault="00BE059B">
      <w:pPr>
        <w:keepNext/>
        <w:widowControl w:val="0"/>
        <w:spacing w:line="204" w:lineRule="auto"/>
        <w:rPr>
          <w:b/>
          <w:sz w:val="24"/>
          <w:szCs w:val="24"/>
          <w:highlight w:val="yellow"/>
        </w:rPr>
      </w:pPr>
    </w:p>
    <w:p w14:paraId="5E0C2612" w14:textId="77777777" w:rsidR="00BE059B" w:rsidRPr="00767897" w:rsidRDefault="00BE059B">
      <w:pPr>
        <w:rPr>
          <w:b/>
          <w:i/>
          <w:sz w:val="26"/>
          <w:szCs w:val="26"/>
          <w:highlight w:val="yellow"/>
        </w:rPr>
        <w:sectPr w:rsidR="00BE059B" w:rsidRPr="00767897" w:rsidSect="00205A80">
          <w:pgSz w:w="15840" w:h="12240" w:orient="landscape"/>
          <w:pgMar w:top="1440" w:right="1440" w:bottom="1440" w:left="1440" w:header="720" w:footer="720" w:gutter="0"/>
          <w:cols w:space="720"/>
          <w:docGrid w:linePitch="360"/>
        </w:sectPr>
      </w:pPr>
    </w:p>
    <w:p w14:paraId="131D6792" w14:textId="77777777" w:rsidR="00BE059B" w:rsidRPr="002C2304" w:rsidRDefault="00FB5456">
      <w:pPr>
        <w:pStyle w:val="Heading2"/>
        <w:rPr>
          <w:rFonts w:asciiTheme="minorHAnsi" w:hAnsiTheme="minorHAnsi"/>
          <w:i w:val="0"/>
        </w:rPr>
      </w:pPr>
      <w:bookmarkStart w:id="2" w:name="_Toc142647847"/>
      <w:bookmarkStart w:id="3" w:name="_Toc309810474"/>
      <w:r w:rsidRPr="002C2304">
        <w:rPr>
          <w:rFonts w:asciiTheme="minorHAnsi" w:hAnsiTheme="minorHAnsi"/>
          <w:i w:val="0"/>
        </w:rPr>
        <w:lastRenderedPageBreak/>
        <w:t>CR-10 - Racial and Ethnic composition of families assisted</w:t>
      </w:r>
      <w:bookmarkEnd w:id="2"/>
    </w:p>
    <w:p w14:paraId="6A1AF626" w14:textId="77777777" w:rsidR="00BE059B" w:rsidRPr="002C2304" w:rsidRDefault="00FB5456">
      <w:pPr>
        <w:keepNext/>
        <w:widowControl w:val="0"/>
        <w:rPr>
          <w:b/>
          <w:sz w:val="24"/>
          <w:szCs w:val="24"/>
        </w:rPr>
      </w:pPr>
      <w:r w:rsidRPr="002C2304">
        <w:rPr>
          <w:b/>
          <w:sz w:val="24"/>
          <w:szCs w:val="24"/>
        </w:rPr>
        <w:t xml:space="preserve">Describe the families assisted (including the racial and ethnic status of families assisted). 91.520(a) </w:t>
      </w:r>
    </w:p>
    <w:p w14:paraId="2761ECCB" w14:textId="77777777" w:rsidR="00BE059B" w:rsidRPr="00F05178" w:rsidRDefault="00BE059B">
      <w:pPr>
        <w:widowControl w:val="0"/>
        <w:spacing w:after="0" w:line="240" w:lineRule="auto"/>
        <w:rPr>
          <w:b/>
          <w:vanish/>
          <w:sz w:val="24"/>
          <w:szCs w:val="24"/>
        </w:rPr>
      </w:pPr>
    </w:p>
    <w:p w14:paraId="72C5EB2E" w14:textId="77777777" w:rsidR="00BE059B" w:rsidRPr="00F05178" w:rsidRDefault="00BE059B">
      <w:pPr>
        <w:pStyle w:val="NoSpacing"/>
        <w:rPr>
          <w:vanish/>
        </w:rPr>
      </w:pPr>
    </w:p>
    <w:p w14:paraId="2DDC2FD5" w14:textId="77777777" w:rsidR="00BE059B" w:rsidRPr="00F05178" w:rsidRDefault="00BE059B">
      <w:pPr>
        <w:pStyle w:val="NoSpacing"/>
        <w:rPr>
          <w:vanish/>
        </w:rPr>
      </w:pPr>
    </w:p>
    <w:p w14:paraId="7323DC69" w14:textId="77777777" w:rsidR="00BE059B" w:rsidRPr="00F05178" w:rsidRDefault="00BE059B">
      <w:pPr>
        <w:pStyle w:val="NoSpacing"/>
        <w:rPr>
          <w:vanish/>
        </w:rPr>
      </w:pPr>
    </w:p>
    <w:p w14:paraId="41CBA6C6" w14:textId="77777777" w:rsidR="00BE059B" w:rsidRPr="00F05178" w:rsidRDefault="00BE059B">
      <w:pPr>
        <w:pStyle w:val="NoSpacing"/>
        <w:rPr>
          <w:vanish/>
        </w:rPr>
      </w:pPr>
    </w:p>
    <w:p w14:paraId="3CC9D2DF" w14:textId="77777777" w:rsidR="00BE059B" w:rsidRPr="00F05178" w:rsidRDefault="00BE059B">
      <w:pPr>
        <w:pStyle w:val="NoSpacing"/>
        <w:rPr>
          <w:vanish/>
        </w:rPr>
      </w:pPr>
    </w:p>
    <w:p w14:paraId="25AB7FCB" w14:textId="77777777" w:rsidR="00BE059B" w:rsidRPr="00F05178" w:rsidRDefault="00BE059B">
      <w:pPr>
        <w:pStyle w:val="NoSpacing"/>
        <w:rPr>
          <w:vanish/>
        </w:rPr>
      </w:pPr>
    </w:p>
    <w:p w14:paraId="3F524CDD" w14:textId="77777777" w:rsidR="00BE059B" w:rsidRPr="00F05178" w:rsidRDefault="00BE059B">
      <w:pPr>
        <w:pStyle w:val="NoSpacing"/>
        <w:rPr>
          <w:vanish/>
        </w:rPr>
      </w:pPr>
    </w:p>
    <w:p w14:paraId="535B8404" w14:textId="77777777" w:rsidR="00BE059B" w:rsidRPr="00F05178" w:rsidRDefault="00BE059B">
      <w:pPr>
        <w:pStyle w:val="NoSpacing"/>
        <w:rPr>
          <w:vanish/>
        </w:rPr>
      </w:pPr>
    </w:p>
    <w:p w14:paraId="78E45D19" w14:textId="77777777" w:rsidR="00BE059B" w:rsidRPr="00F05178" w:rsidRDefault="00BE059B">
      <w:pPr>
        <w:pStyle w:val="NoSpacing"/>
        <w:rPr>
          <w:vanish/>
        </w:rPr>
      </w:pPr>
    </w:p>
    <w:p w14:paraId="6BD48B81" w14:textId="77777777" w:rsidR="00BE059B" w:rsidRPr="00F05178" w:rsidRDefault="00BE059B">
      <w:pPr>
        <w:pStyle w:val="NoSpacing"/>
        <w:rPr>
          <w:vanish/>
        </w:rPr>
      </w:pPr>
    </w:p>
    <w:p w14:paraId="53F8C4C8" w14:textId="77777777" w:rsidR="00BE059B" w:rsidRPr="00F05178" w:rsidRDefault="00BE059B">
      <w:pPr>
        <w:pStyle w:val="NoSpacing"/>
        <w:rPr>
          <w:vanish/>
        </w:rPr>
      </w:pPr>
    </w:p>
    <w:p w14:paraId="09A1FC4F" w14:textId="77777777" w:rsidR="00BE059B" w:rsidRPr="00F05178" w:rsidRDefault="00BE059B">
      <w:pPr>
        <w:pStyle w:val="NoSpacing"/>
        <w:rPr>
          <w:vanish/>
        </w:rPr>
      </w:pPr>
    </w:p>
    <w:p w14:paraId="26591966" w14:textId="77777777" w:rsidR="00BE059B" w:rsidRPr="00F05178" w:rsidRDefault="00BE059B">
      <w:pPr>
        <w:pStyle w:val="NoSpacing"/>
        <w:rPr>
          <w:vanish/>
        </w:rPr>
      </w:pPr>
    </w:p>
    <w:p w14:paraId="43302875" w14:textId="77777777" w:rsidR="00BE059B" w:rsidRPr="00F05178" w:rsidRDefault="00BE059B">
      <w:pPr>
        <w:pStyle w:val="NoSpacing"/>
        <w:rPr>
          <w:vanish/>
        </w:rPr>
      </w:pPr>
    </w:p>
    <w:p w14:paraId="298CF882" w14:textId="77777777" w:rsidR="00BE059B" w:rsidRPr="00F05178" w:rsidRDefault="00BE059B">
      <w:pPr>
        <w:pStyle w:val="NoSpacing"/>
        <w:rPr>
          <w:vanish/>
        </w:rPr>
      </w:pPr>
    </w:p>
    <w:p w14:paraId="20264B33" w14:textId="77777777" w:rsidR="00BE059B" w:rsidRPr="00F05178" w:rsidRDefault="00BE059B">
      <w:pPr>
        <w:pStyle w:val="NoSpacing"/>
        <w:rPr>
          <w:vanish/>
        </w:rPr>
      </w:pPr>
    </w:p>
    <w:p w14:paraId="781FB14D" w14:textId="77777777" w:rsidR="00BE059B" w:rsidRPr="00F05178" w:rsidRDefault="00BE059B">
      <w:pPr>
        <w:pStyle w:val="NoSpacing"/>
      </w:pPr>
    </w:p>
    <w:p w14:paraId="72E1C5A4" w14:textId="77777777" w:rsidR="00BE059B" w:rsidRPr="00F05178" w:rsidRDefault="00BE059B">
      <w:pPr>
        <w:pStyle w:val="NoSpacing"/>
        <w:rPr>
          <w:vanish/>
        </w:rPr>
      </w:pPr>
    </w:p>
    <w:p w14:paraId="5A68095B" w14:textId="77777777" w:rsidR="00BE059B" w:rsidRPr="00F05178" w:rsidRDefault="00BE059B">
      <w:pPr>
        <w:pStyle w:val="NoSpacing"/>
        <w:rPr>
          <w:vanish/>
        </w:rPr>
      </w:pPr>
    </w:p>
    <w:p w14:paraId="643BCDBC" w14:textId="77777777" w:rsidR="00BE059B" w:rsidRPr="00F05178" w:rsidRDefault="00BE059B">
      <w:pPr>
        <w:pStyle w:val="NoSpacing"/>
        <w:rPr>
          <w:vanish/>
        </w:rPr>
      </w:pPr>
    </w:p>
    <w:p w14:paraId="655091CB" w14:textId="77777777" w:rsidR="00BE059B" w:rsidRPr="00F05178" w:rsidRDefault="00BE059B">
      <w:pPr>
        <w:pStyle w:val="NoSpacing"/>
        <w:rPr>
          <w:vanish/>
        </w:rPr>
      </w:pPr>
    </w:p>
    <w:p w14:paraId="5EF5F32F" w14:textId="77777777" w:rsidR="00BE059B" w:rsidRPr="00F05178" w:rsidRDefault="00BE059B">
      <w:pPr>
        <w:pStyle w:val="NoSpacing"/>
        <w:rPr>
          <w:vanish/>
        </w:rPr>
      </w:pPr>
    </w:p>
    <w:p w14:paraId="1C7F3522" w14:textId="77777777" w:rsidR="00BE059B" w:rsidRPr="00F05178" w:rsidRDefault="00BE059B">
      <w:pPr>
        <w:pStyle w:val="NoSpacing"/>
        <w:rPr>
          <w:vanish/>
        </w:rPr>
      </w:pPr>
    </w:p>
    <w:p w14:paraId="572611C5" w14:textId="77777777" w:rsidR="00BE059B" w:rsidRPr="00F05178" w:rsidRDefault="00BE059B">
      <w:pPr>
        <w:pStyle w:val="NoSpacing"/>
        <w:rPr>
          <w:vanish/>
        </w:rPr>
      </w:pPr>
    </w:p>
    <w:tbl>
      <w:tblPr>
        <w:tblW w:w="417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1"/>
        <w:gridCol w:w="1549"/>
      </w:tblGrid>
      <w:tr w:rsidR="00A23BD2" w:rsidRPr="00F05178" w14:paraId="337C84D6" w14:textId="77777777" w:rsidTr="00A23BD2">
        <w:trPr>
          <w:cantSplit/>
        </w:trPr>
        <w:tc>
          <w:tcPr>
            <w:tcW w:w="3013" w:type="pct"/>
          </w:tcPr>
          <w:p w14:paraId="6A84AA26" w14:textId="77777777" w:rsidR="00A23BD2" w:rsidRPr="00F05178" w:rsidRDefault="00A23BD2">
            <w:pPr>
              <w:spacing w:after="0"/>
            </w:pPr>
          </w:p>
        </w:tc>
        <w:tc>
          <w:tcPr>
            <w:tcW w:w="994" w:type="pct"/>
          </w:tcPr>
          <w:p w14:paraId="7E80701B" w14:textId="77777777" w:rsidR="00A23BD2" w:rsidRPr="00F05178" w:rsidRDefault="00A23BD2">
            <w:pPr>
              <w:spacing w:after="0"/>
              <w:jc w:val="center"/>
              <w:rPr>
                <w:b/>
              </w:rPr>
            </w:pPr>
            <w:r w:rsidRPr="00F05178">
              <w:rPr>
                <w:b/>
              </w:rPr>
              <w:t>CDBG</w:t>
            </w:r>
          </w:p>
        </w:tc>
        <w:tc>
          <w:tcPr>
            <w:tcW w:w="994" w:type="pct"/>
          </w:tcPr>
          <w:p w14:paraId="2059C920" w14:textId="77777777" w:rsidR="00A23BD2" w:rsidRPr="00F05178" w:rsidRDefault="00A23BD2">
            <w:pPr>
              <w:spacing w:after="0"/>
              <w:jc w:val="center"/>
              <w:rPr>
                <w:b/>
              </w:rPr>
            </w:pPr>
            <w:r w:rsidRPr="00F05178">
              <w:rPr>
                <w:b/>
              </w:rPr>
              <w:t>HOME</w:t>
            </w:r>
          </w:p>
        </w:tc>
      </w:tr>
      <w:tr w:rsidR="00A23BD2" w:rsidRPr="00F05178" w14:paraId="74B51C5F" w14:textId="77777777" w:rsidTr="00A23BD2">
        <w:trPr>
          <w:cantSplit/>
        </w:trPr>
        <w:tc>
          <w:tcPr>
            <w:tcW w:w="3013" w:type="pct"/>
            <w:vAlign w:val="bottom"/>
          </w:tcPr>
          <w:p w14:paraId="4B00E6ED" w14:textId="77777777" w:rsidR="00A23BD2" w:rsidRPr="00F05178" w:rsidRDefault="00A23BD2">
            <w:pPr>
              <w:spacing w:beforeAutospacing="1" w:afterAutospacing="1"/>
            </w:pPr>
            <w:r w:rsidRPr="00F05178">
              <w:rPr>
                <w:color w:val="000000"/>
              </w:rPr>
              <w:t>White</w:t>
            </w:r>
          </w:p>
        </w:tc>
        <w:tc>
          <w:tcPr>
            <w:tcW w:w="994" w:type="pct"/>
            <w:vAlign w:val="bottom"/>
          </w:tcPr>
          <w:p w14:paraId="7CA7DC20" w14:textId="2B185382" w:rsidR="00A23BD2" w:rsidRPr="00F05178" w:rsidRDefault="00F05178" w:rsidP="00B06072">
            <w:pPr>
              <w:spacing w:beforeAutospacing="1" w:afterAutospacing="1"/>
              <w:jc w:val="center"/>
            </w:pPr>
            <w:r w:rsidRPr="00F05178">
              <w:rPr>
                <w:color w:val="000000"/>
              </w:rPr>
              <w:t>362</w:t>
            </w:r>
          </w:p>
        </w:tc>
        <w:tc>
          <w:tcPr>
            <w:tcW w:w="994" w:type="pct"/>
            <w:vAlign w:val="bottom"/>
          </w:tcPr>
          <w:p w14:paraId="4EB4A326" w14:textId="1241E9BC" w:rsidR="00A23BD2" w:rsidRPr="00F05178" w:rsidRDefault="00A23BD2" w:rsidP="00B06072">
            <w:pPr>
              <w:spacing w:beforeAutospacing="1" w:afterAutospacing="1"/>
              <w:jc w:val="center"/>
            </w:pPr>
            <w:r w:rsidRPr="00F05178">
              <w:rPr>
                <w:color w:val="000000"/>
              </w:rPr>
              <w:t>0</w:t>
            </w:r>
          </w:p>
        </w:tc>
      </w:tr>
      <w:tr w:rsidR="00A23BD2" w:rsidRPr="00767897" w14:paraId="74302D6C" w14:textId="77777777" w:rsidTr="00A23BD2">
        <w:trPr>
          <w:cantSplit/>
        </w:trPr>
        <w:tc>
          <w:tcPr>
            <w:tcW w:w="3013" w:type="pct"/>
            <w:vAlign w:val="bottom"/>
          </w:tcPr>
          <w:p w14:paraId="630E64AB" w14:textId="77777777" w:rsidR="00A23BD2" w:rsidRPr="00F05178" w:rsidRDefault="00A23BD2">
            <w:pPr>
              <w:spacing w:beforeAutospacing="1" w:afterAutospacing="1"/>
            </w:pPr>
            <w:r w:rsidRPr="00F05178">
              <w:rPr>
                <w:color w:val="000000"/>
              </w:rPr>
              <w:t>Black or African American</w:t>
            </w:r>
          </w:p>
        </w:tc>
        <w:tc>
          <w:tcPr>
            <w:tcW w:w="994" w:type="pct"/>
            <w:vAlign w:val="bottom"/>
          </w:tcPr>
          <w:p w14:paraId="3A38E424" w14:textId="779C0E93" w:rsidR="00A23BD2" w:rsidRPr="00F05178" w:rsidRDefault="00F05178" w:rsidP="00B06072">
            <w:pPr>
              <w:spacing w:before="100" w:beforeAutospacing="1" w:after="100" w:afterAutospacing="1"/>
              <w:jc w:val="center"/>
            </w:pPr>
            <w:r w:rsidRPr="00F05178">
              <w:rPr>
                <w:color w:val="000000"/>
              </w:rPr>
              <w:t>6</w:t>
            </w:r>
          </w:p>
        </w:tc>
        <w:tc>
          <w:tcPr>
            <w:tcW w:w="994" w:type="pct"/>
            <w:vAlign w:val="bottom"/>
          </w:tcPr>
          <w:p w14:paraId="339501C2" w14:textId="77777777" w:rsidR="00A23BD2" w:rsidRPr="002C2304" w:rsidRDefault="00A23BD2" w:rsidP="00B06072">
            <w:pPr>
              <w:spacing w:beforeAutospacing="1" w:afterAutospacing="1"/>
              <w:jc w:val="center"/>
            </w:pPr>
            <w:r w:rsidRPr="00F05178">
              <w:rPr>
                <w:color w:val="000000"/>
              </w:rPr>
              <w:t>0</w:t>
            </w:r>
          </w:p>
        </w:tc>
      </w:tr>
      <w:tr w:rsidR="00A23BD2" w:rsidRPr="00767897" w14:paraId="7B0E4A62" w14:textId="77777777" w:rsidTr="00A23BD2">
        <w:trPr>
          <w:cantSplit/>
        </w:trPr>
        <w:tc>
          <w:tcPr>
            <w:tcW w:w="3013" w:type="pct"/>
            <w:vAlign w:val="bottom"/>
          </w:tcPr>
          <w:p w14:paraId="774B73C1" w14:textId="77777777" w:rsidR="00A23BD2" w:rsidRPr="005F1D3C" w:rsidRDefault="00A23BD2">
            <w:pPr>
              <w:spacing w:beforeAutospacing="1" w:afterAutospacing="1"/>
            </w:pPr>
            <w:r w:rsidRPr="005F1D3C">
              <w:rPr>
                <w:color w:val="000000"/>
              </w:rPr>
              <w:t>Asian</w:t>
            </w:r>
          </w:p>
        </w:tc>
        <w:tc>
          <w:tcPr>
            <w:tcW w:w="994" w:type="pct"/>
            <w:vAlign w:val="bottom"/>
          </w:tcPr>
          <w:p w14:paraId="24A4A621" w14:textId="38DEF66C" w:rsidR="00A23BD2" w:rsidRPr="005F1D3C" w:rsidRDefault="00F05178" w:rsidP="00B06072">
            <w:pPr>
              <w:spacing w:beforeAutospacing="1" w:afterAutospacing="1"/>
              <w:jc w:val="center"/>
            </w:pPr>
            <w:r w:rsidRPr="005F1D3C">
              <w:rPr>
                <w:color w:val="000000"/>
              </w:rPr>
              <w:t>0</w:t>
            </w:r>
          </w:p>
        </w:tc>
        <w:tc>
          <w:tcPr>
            <w:tcW w:w="994" w:type="pct"/>
            <w:vAlign w:val="bottom"/>
          </w:tcPr>
          <w:p w14:paraId="5B8612EF" w14:textId="77777777" w:rsidR="00A23BD2" w:rsidRPr="002C2304" w:rsidRDefault="00A23BD2" w:rsidP="00B06072">
            <w:pPr>
              <w:spacing w:beforeAutospacing="1" w:afterAutospacing="1"/>
              <w:jc w:val="center"/>
            </w:pPr>
            <w:r w:rsidRPr="002C2304">
              <w:rPr>
                <w:color w:val="000000"/>
              </w:rPr>
              <w:t>0</w:t>
            </w:r>
          </w:p>
        </w:tc>
      </w:tr>
      <w:tr w:rsidR="00A23BD2" w:rsidRPr="00767897" w14:paraId="108FDCB6" w14:textId="77777777" w:rsidTr="00A23BD2">
        <w:trPr>
          <w:cantSplit/>
        </w:trPr>
        <w:tc>
          <w:tcPr>
            <w:tcW w:w="3013" w:type="pct"/>
            <w:vAlign w:val="bottom"/>
          </w:tcPr>
          <w:p w14:paraId="6E488A15" w14:textId="77777777" w:rsidR="00A23BD2" w:rsidRPr="005F1D3C" w:rsidRDefault="00A23BD2">
            <w:pPr>
              <w:spacing w:beforeAutospacing="1" w:afterAutospacing="1"/>
            </w:pPr>
            <w:r w:rsidRPr="005F1D3C">
              <w:rPr>
                <w:color w:val="000000"/>
              </w:rPr>
              <w:t>American Indian or American Native</w:t>
            </w:r>
          </w:p>
        </w:tc>
        <w:tc>
          <w:tcPr>
            <w:tcW w:w="994" w:type="pct"/>
            <w:vAlign w:val="bottom"/>
          </w:tcPr>
          <w:p w14:paraId="6FE64AD3" w14:textId="3A3AC084" w:rsidR="00A23BD2" w:rsidRPr="005F1D3C" w:rsidRDefault="005F1D3C" w:rsidP="00B06072">
            <w:pPr>
              <w:spacing w:beforeAutospacing="1" w:afterAutospacing="1"/>
              <w:jc w:val="center"/>
            </w:pPr>
            <w:r w:rsidRPr="005F1D3C">
              <w:t>1</w:t>
            </w:r>
          </w:p>
        </w:tc>
        <w:tc>
          <w:tcPr>
            <w:tcW w:w="994" w:type="pct"/>
            <w:vAlign w:val="bottom"/>
          </w:tcPr>
          <w:p w14:paraId="70D182F3" w14:textId="77777777" w:rsidR="00A23BD2" w:rsidRPr="002C2304" w:rsidRDefault="00A23BD2" w:rsidP="00B06072">
            <w:pPr>
              <w:spacing w:beforeAutospacing="1" w:afterAutospacing="1"/>
              <w:jc w:val="center"/>
            </w:pPr>
            <w:r w:rsidRPr="002C2304">
              <w:rPr>
                <w:color w:val="000000"/>
              </w:rPr>
              <w:t>0</w:t>
            </w:r>
          </w:p>
        </w:tc>
      </w:tr>
      <w:tr w:rsidR="00A23BD2" w:rsidRPr="00767897" w14:paraId="29DBAB2C" w14:textId="77777777" w:rsidTr="00A23BD2">
        <w:trPr>
          <w:cantSplit/>
        </w:trPr>
        <w:tc>
          <w:tcPr>
            <w:tcW w:w="3013" w:type="pct"/>
            <w:vAlign w:val="bottom"/>
          </w:tcPr>
          <w:p w14:paraId="7A12E750" w14:textId="77777777" w:rsidR="00A23BD2" w:rsidRPr="005F1D3C" w:rsidRDefault="00A23BD2">
            <w:pPr>
              <w:spacing w:beforeAutospacing="1" w:afterAutospacing="1"/>
            </w:pPr>
            <w:r w:rsidRPr="005F1D3C">
              <w:rPr>
                <w:color w:val="000000"/>
              </w:rPr>
              <w:t>Native Hawaiian or Other Pacific Islander</w:t>
            </w:r>
          </w:p>
        </w:tc>
        <w:tc>
          <w:tcPr>
            <w:tcW w:w="994" w:type="pct"/>
            <w:vAlign w:val="bottom"/>
          </w:tcPr>
          <w:p w14:paraId="4240E6EB" w14:textId="23C9F192" w:rsidR="00A23BD2" w:rsidRPr="005F1D3C" w:rsidRDefault="005F1D3C" w:rsidP="00B06072">
            <w:pPr>
              <w:spacing w:beforeAutospacing="1" w:afterAutospacing="1"/>
              <w:jc w:val="center"/>
            </w:pPr>
            <w:r w:rsidRPr="005F1D3C">
              <w:rPr>
                <w:color w:val="000000"/>
              </w:rPr>
              <w:t>0</w:t>
            </w:r>
          </w:p>
        </w:tc>
        <w:tc>
          <w:tcPr>
            <w:tcW w:w="994" w:type="pct"/>
            <w:vAlign w:val="bottom"/>
          </w:tcPr>
          <w:p w14:paraId="4EE78CC7" w14:textId="77777777" w:rsidR="00A23BD2" w:rsidRPr="002C2304" w:rsidRDefault="00A23BD2" w:rsidP="00B06072">
            <w:pPr>
              <w:spacing w:beforeAutospacing="1" w:afterAutospacing="1"/>
              <w:jc w:val="center"/>
            </w:pPr>
            <w:r w:rsidRPr="002C2304">
              <w:rPr>
                <w:color w:val="000000"/>
              </w:rPr>
              <w:t>0</w:t>
            </w:r>
          </w:p>
        </w:tc>
      </w:tr>
      <w:tr w:rsidR="00B06072" w:rsidRPr="00767897" w14:paraId="60E8CF93" w14:textId="77777777" w:rsidTr="00A23BD2">
        <w:trPr>
          <w:cantSplit/>
        </w:trPr>
        <w:tc>
          <w:tcPr>
            <w:tcW w:w="3013" w:type="pct"/>
            <w:vAlign w:val="bottom"/>
          </w:tcPr>
          <w:p w14:paraId="23B0F428" w14:textId="4F5AAEE9" w:rsidR="00B06072" w:rsidRPr="005F1D3C" w:rsidRDefault="00B06072">
            <w:pPr>
              <w:spacing w:beforeAutospacing="1" w:afterAutospacing="1"/>
              <w:rPr>
                <w:color w:val="000000"/>
              </w:rPr>
            </w:pPr>
            <w:r w:rsidRPr="005F1D3C">
              <w:rPr>
                <w:color w:val="000000"/>
              </w:rPr>
              <w:t>Other: Multi Racial</w:t>
            </w:r>
          </w:p>
        </w:tc>
        <w:tc>
          <w:tcPr>
            <w:tcW w:w="994" w:type="pct"/>
            <w:vAlign w:val="bottom"/>
          </w:tcPr>
          <w:p w14:paraId="56936032" w14:textId="6724A544" w:rsidR="00B06072" w:rsidRPr="005F1D3C" w:rsidRDefault="005F1D3C" w:rsidP="00B06072">
            <w:pPr>
              <w:spacing w:beforeAutospacing="1" w:afterAutospacing="1"/>
              <w:jc w:val="center"/>
              <w:rPr>
                <w:color w:val="000000"/>
              </w:rPr>
            </w:pPr>
            <w:r w:rsidRPr="005F1D3C">
              <w:rPr>
                <w:color w:val="000000"/>
              </w:rPr>
              <w:t>11</w:t>
            </w:r>
          </w:p>
        </w:tc>
        <w:tc>
          <w:tcPr>
            <w:tcW w:w="994" w:type="pct"/>
            <w:vAlign w:val="bottom"/>
          </w:tcPr>
          <w:p w14:paraId="6EDE4ACF" w14:textId="046D17FE" w:rsidR="00B06072" w:rsidRPr="002C2304" w:rsidRDefault="00B06072" w:rsidP="00B06072">
            <w:pPr>
              <w:spacing w:beforeAutospacing="1" w:afterAutospacing="1"/>
              <w:jc w:val="center"/>
              <w:rPr>
                <w:color w:val="000000"/>
              </w:rPr>
            </w:pPr>
            <w:r w:rsidRPr="002C2304">
              <w:rPr>
                <w:color w:val="000000"/>
              </w:rPr>
              <w:t>0</w:t>
            </w:r>
          </w:p>
        </w:tc>
      </w:tr>
      <w:tr w:rsidR="00B06072" w:rsidRPr="00767897" w14:paraId="1C8FE477" w14:textId="77777777" w:rsidTr="00A23BD2">
        <w:trPr>
          <w:cantSplit/>
        </w:trPr>
        <w:tc>
          <w:tcPr>
            <w:tcW w:w="3013" w:type="pct"/>
            <w:vAlign w:val="bottom"/>
          </w:tcPr>
          <w:p w14:paraId="037473A7" w14:textId="006FE458" w:rsidR="00B06072" w:rsidRPr="005F1D3C" w:rsidRDefault="00B06072">
            <w:pPr>
              <w:spacing w:beforeAutospacing="1" w:afterAutospacing="1"/>
              <w:rPr>
                <w:color w:val="000000"/>
              </w:rPr>
            </w:pPr>
            <w:r w:rsidRPr="005F1D3C">
              <w:rPr>
                <w:color w:val="000000"/>
              </w:rPr>
              <w:t>Declined to Answer</w:t>
            </w:r>
          </w:p>
        </w:tc>
        <w:tc>
          <w:tcPr>
            <w:tcW w:w="994" w:type="pct"/>
            <w:vAlign w:val="bottom"/>
          </w:tcPr>
          <w:p w14:paraId="25858E7C" w14:textId="4FA72EF5" w:rsidR="00B06072" w:rsidRPr="005F1D3C" w:rsidRDefault="00536D06" w:rsidP="00B06072">
            <w:pPr>
              <w:spacing w:beforeAutospacing="1" w:afterAutospacing="1"/>
              <w:jc w:val="center"/>
              <w:rPr>
                <w:color w:val="000000"/>
              </w:rPr>
            </w:pPr>
            <w:r w:rsidRPr="005F1D3C">
              <w:rPr>
                <w:color w:val="000000"/>
              </w:rPr>
              <w:t>0</w:t>
            </w:r>
          </w:p>
        </w:tc>
        <w:tc>
          <w:tcPr>
            <w:tcW w:w="994" w:type="pct"/>
            <w:vAlign w:val="bottom"/>
          </w:tcPr>
          <w:p w14:paraId="0FB7E319" w14:textId="01705B39" w:rsidR="00B06072" w:rsidRPr="002C2304" w:rsidRDefault="00903386" w:rsidP="00B06072">
            <w:pPr>
              <w:spacing w:beforeAutospacing="1" w:afterAutospacing="1"/>
              <w:jc w:val="center"/>
              <w:rPr>
                <w:color w:val="000000"/>
              </w:rPr>
            </w:pPr>
            <w:r w:rsidRPr="002C2304">
              <w:rPr>
                <w:color w:val="000000"/>
              </w:rPr>
              <w:t>0</w:t>
            </w:r>
          </w:p>
        </w:tc>
      </w:tr>
    </w:tbl>
    <w:p w14:paraId="6B4275C6" w14:textId="77777777" w:rsidR="00BE059B" w:rsidRPr="00767897" w:rsidRDefault="00BE059B">
      <w:pPr>
        <w:pStyle w:val="NoSpacing"/>
        <w:rPr>
          <w:vanish/>
          <w:highlight w:val="yellow"/>
        </w:rPr>
      </w:pPr>
    </w:p>
    <w:tbl>
      <w:tblPr>
        <w:tblW w:w="417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1"/>
        <w:gridCol w:w="1549"/>
      </w:tblGrid>
      <w:tr w:rsidR="00A23BD2" w:rsidRPr="00767897" w14:paraId="681F5D36" w14:textId="77777777" w:rsidTr="00A23BD2">
        <w:trPr>
          <w:cantSplit/>
          <w:hidden/>
        </w:trPr>
        <w:tc>
          <w:tcPr>
            <w:tcW w:w="3013" w:type="pct"/>
          </w:tcPr>
          <w:p w14:paraId="6FAD0F02" w14:textId="77777777" w:rsidR="00A23BD2" w:rsidRPr="00767897" w:rsidRDefault="00A23BD2">
            <w:pPr>
              <w:keepNext/>
              <w:widowControl w:val="0"/>
              <w:spacing w:after="0" w:line="240" w:lineRule="auto"/>
              <w:rPr>
                <w:vanish/>
                <w:highlight w:val="yellow"/>
              </w:rPr>
            </w:pPr>
          </w:p>
        </w:tc>
        <w:tc>
          <w:tcPr>
            <w:tcW w:w="994" w:type="pct"/>
          </w:tcPr>
          <w:p w14:paraId="5D25B716" w14:textId="77777777" w:rsidR="00A23BD2" w:rsidRPr="00767897" w:rsidRDefault="00A23BD2">
            <w:pPr>
              <w:keepNext/>
              <w:widowControl w:val="0"/>
              <w:spacing w:after="0" w:line="240" w:lineRule="auto"/>
              <w:jc w:val="center"/>
              <w:rPr>
                <w:b/>
                <w:vanish/>
                <w:highlight w:val="yellow"/>
              </w:rPr>
            </w:pPr>
          </w:p>
        </w:tc>
        <w:tc>
          <w:tcPr>
            <w:tcW w:w="994" w:type="pct"/>
          </w:tcPr>
          <w:p w14:paraId="0AEDAE79" w14:textId="77777777" w:rsidR="00A23BD2" w:rsidRPr="00767897" w:rsidRDefault="00A23BD2">
            <w:pPr>
              <w:keepNext/>
              <w:widowControl w:val="0"/>
              <w:spacing w:after="0" w:line="240" w:lineRule="auto"/>
              <w:jc w:val="center"/>
              <w:rPr>
                <w:b/>
                <w:vanish/>
                <w:highlight w:val="yellow"/>
              </w:rPr>
            </w:pPr>
          </w:p>
        </w:tc>
      </w:tr>
      <w:tr w:rsidR="00A23BD2" w:rsidRPr="00AA296E" w14:paraId="78B509E1" w14:textId="77777777" w:rsidTr="00A23BD2">
        <w:trPr>
          <w:cantSplit/>
        </w:trPr>
        <w:tc>
          <w:tcPr>
            <w:tcW w:w="3013" w:type="pct"/>
            <w:vAlign w:val="bottom"/>
          </w:tcPr>
          <w:p w14:paraId="1647CCAB" w14:textId="77777777" w:rsidR="00A23BD2" w:rsidRPr="00AA296E" w:rsidRDefault="00A23BD2">
            <w:pPr>
              <w:spacing w:beforeAutospacing="1" w:afterAutospacing="1"/>
            </w:pPr>
            <w:r w:rsidRPr="00AA296E">
              <w:rPr>
                <w:b/>
                <w:color w:val="000000"/>
              </w:rPr>
              <w:t>Total</w:t>
            </w:r>
          </w:p>
        </w:tc>
        <w:tc>
          <w:tcPr>
            <w:tcW w:w="994" w:type="pct"/>
            <w:vAlign w:val="bottom"/>
          </w:tcPr>
          <w:p w14:paraId="5B836CC0" w14:textId="5D769F6F" w:rsidR="00A23BD2" w:rsidRPr="00AA296E" w:rsidRDefault="005F1D3C" w:rsidP="00B06072">
            <w:pPr>
              <w:spacing w:beforeAutospacing="1" w:afterAutospacing="1"/>
              <w:jc w:val="center"/>
            </w:pPr>
            <w:r w:rsidRPr="00AA296E">
              <w:rPr>
                <w:b/>
                <w:color w:val="000000"/>
              </w:rPr>
              <w:t>380</w:t>
            </w:r>
          </w:p>
        </w:tc>
        <w:tc>
          <w:tcPr>
            <w:tcW w:w="994" w:type="pct"/>
            <w:vAlign w:val="bottom"/>
          </w:tcPr>
          <w:p w14:paraId="5BEFD72B" w14:textId="63DEE3B0" w:rsidR="00A23BD2" w:rsidRPr="00AA296E" w:rsidRDefault="00A23BD2" w:rsidP="00B06072">
            <w:pPr>
              <w:spacing w:beforeAutospacing="1" w:afterAutospacing="1"/>
              <w:jc w:val="center"/>
            </w:pPr>
            <w:r w:rsidRPr="00AA296E">
              <w:rPr>
                <w:b/>
                <w:color w:val="000000"/>
              </w:rPr>
              <w:t>0</w:t>
            </w:r>
          </w:p>
        </w:tc>
      </w:tr>
    </w:tbl>
    <w:p w14:paraId="54490196" w14:textId="77777777" w:rsidR="00BE059B" w:rsidRPr="00AA296E" w:rsidRDefault="00BE059B">
      <w:pPr>
        <w:pStyle w:val="NoSpacing"/>
        <w:rPr>
          <w:vanish/>
        </w:rPr>
      </w:pPr>
    </w:p>
    <w:tbl>
      <w:tblPr>
        <w:tblW w:w="417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2"/>
        <w:gridCol w:w="1551"/>
        <w:gridCol w:w="1549"/>
      </w:tblGrid>
      <w:tr w:rsidR="00A23BD2" w:rsidRPr="00AA296E" w14:paraId="2AE227B1" w14:textId="77777777" w:rsidTr="00A23BD2">
        <w:trPr>
          <w:cantSplit/>
          <w:hidden/>
        </w:trPr>
        <w:tc>
          <w:tcPr>
            <w:tcW w:w="3013" w:type="pct"/>
          </w:tcPr>
          <w:p w14:paraId="0FCEB348" w14:textId="77777777" w:rsidR="00A23BD2" w:rsidRPr="00AA296E" w:rsidRDefault="00A23BD2">
            <w:pPr>
              <w:keepNext/>
              <w:widowControl w:val="0"/>
              <w:spacing w:after="0" w:line="240" w:lineRule="auto"/>
              <w:rPr>
                <w:vanish/>
              </w:rPr>
            </w:pPr>
          </w:p>
        </w:tc>
        <w:tc>
          <w:tcPr>
            <w:tcW w:w="994" w:type="pct"/>
          </w:tcPr>
          <w:p w14:paraId="07C09831" w14:textId="77777777" w:rsidR="00A23BD2" w:rsidRPr="00AA296E" w:rsidRDefault="00A23BD2">
            <w:pPr>
              <w:keepNext/>
              <w:widowControl w:val="0"/>
              <w:spacing w:after="0" w:line="240" w:lineRule="auto"/>
              <w:jc w:val="center"/>
              <w:rPr>
                <w:b/>
                <w:vanish/>
              </w:rPr>
            </w:pPr>
          </w:p>
        </w:tc>
        <w:tc>
          <w:tcPr>
            <w:tcW w:w="994" w:type="pct"/>
          </w:tcPr>
          <w:p w14:paraId="029B4AC6" w14:textId="77777777" w:rsidR="00A23BD2" w:rsidRPr="00AA296E" w:rsidRDefault="00A23BD2">
            <w:pPr>
              <w:keepNext/>
              <w:widowControl w:val="0"/>
              <w:spacing w:after="0" w:line="240" w:lineRule="auto"/>
              <w:jc w:val="center"/>
              <w:rPr>
                <w:b/>
                <w:vanish/>
              </w:rPr>
            </w:pPr>
          </w:p>
        </w:tc>
      </w:tr>
      <w:tr w:rsidR="00A23BD2" w:rsidRPr="00AA296E" w14:paraId="41F16DD2" w14:textId="77777777" w:rsidTr="00A23BD2">
        <w:trPr>
          <w:cantSplit/>
        </w:trPr>
        <w:tc>
          <w:tcPr>
            <w:tcW w:w="3013" w:type="pct"/>
            <w:vAlign w:val="bottom"/>
          </w:tcPr>
          <w:p w14:paraId="41196F44" w14:textId="77777777" w:rsidR="00A23BD2" w:rsidRPr="00AA296E" w:rsidRDefault="00A23BD2">
            <w:pPr>
              <w:spacing w:beforeAutospacing="1" w:afterAutospacing="1"/>
            </w:pPr>
            <w:r w:rsidRPr="00AA296E">
              <w:rPr>
                <w:color w:val="000000"/>
              </w:rPr>
              <w:t>Hispanic</w:t>
            </w:r>
          </w:p>
        </w:tc>
        <w:tc>
          <w:tcPr>
            <w:tcW w:w="994" w:type="pct"/>
            <w:vAlign w:val="bottom"/>
          </w:tcPr>
          <w:p w14:paraId="07CE65DD" w14:textId="3223DDDC" w:rsidR="00A23BD2" w:rsidRPr="00AA296E" w:rsidRDefault="003F62C1" w:rsidP="00B06072">
            <w:pPr>
              <w:spacing w:beforeAutospacing="1" w:afterAutospacing="1"/>
              <w:jc w:val="center"/>
            </w:pPr>
            <w:r w:rsidRPr="00AA296E">
              <w:rPr>
                <w:color w:val="000000"/>
              </w:rPr>
              <w:t>3</w:t>
            </w:r>
            <w:r w:rsidR="00AA296E" w:rsidRPr="00AA296E">
              <w:rPr>
                <w:color w:val="000000"/>
              </w:rPr>
              <w:t>57</w:t>
            </w:r>
          </w:p>
        </w:tc>
        <w:tc>
          <w:tcPr>
            <w:tcW w:w="994" w:type="pct"/>
            <w:vAlign w:val="bottom"/>
          </w:tcPr>
          <w:p w14:paraId="142680D1" w14:textId="245FBB74" w:rsidR="00A23BD2" w:rsidRPr="00AA296E" w:rsidRDefault="00A23BD2" w:rsidP="00B06072">
            <w:pPr>
              <w:spacing w:beforeAutospacing="1" w:afterAutospacing="1"/>
              <w:jc w:val="center"/>
            </w:pPr>
            <w:r w:rsidRPr="00AA296E">
              <w:rPr>
                <w:color w:val="000000"/>
              </w:rPr>
              <w:t>0</w:t>
            </w:r>
          </w:p>
        </w:tc>
      </w:tr>
      <w:tr w:rsidR="00A23BD2" w:rsidRPr="00767897" w14:paraId="605B8466" w14:textId="77777777" w:rsidTr="00A23BD2">
        <w:trPr>
          <w:cantSplit/>
        </w:trPr>
        <w:tc>
          <w:tcPr>
            <w:tcW w:w="3013" w:type="pct"/>
            <w:vAlign w:val="bottom"/>
          </w:tcPr>
          <w:p w14:paraId="660EFC23" w14:textId="77777777" w:rsidR="00A23BD2" w:rsidRPr="00AA296E" w:rsidRDefault="00A23BD2">
            <w:pPr>
              <w:spacing w:beforeAutospacing="1" w:afterAutospacing="1"/>
            </w:pPr>
            <w:r w:rsidRPr="00AA296E">
              <w:rPr>
                <w:color w:val="000000"/>
              </w:rPr>
              <w:t>Not Hispanic</w:t>
            </w:r>
          </w:p>
        </w:tc>
        <w:tc>
          <w:tcPr>
            <w:tcW w:w="994" w:type="pct"/>
            <w:vAlign w:val="bottom"/>
          </w:tcPr>
          <w:p w14:paraId="67EBA54D" w14:textId="3FEC5504" w:rsidR="00A23BD2" w:rsidRPr="00AA296E" w:rsidRDefault="00AA296E" w:rsidP="00B06072">
            <w:pPr>
              <w:spacing w:beforeAutospacing="1" w:afterAutospacing="1"/>
              <w:jc w:val="center"/>
            </w:pPr>
            <w:r w:rsidRPr="00AA296E">
              <w:rPr>
                <w:color w:val="000000"/>
              </w:rPr>
              <w:t>23</w:t>
            </w:r>
          </w:p>
        </w:tc>
        <w:tc>
          <w:tcPr>
            <w:tcW w:w="994" w:type="pct"/>
            <w:vAlign w:val="bottom"/>
          </w:tcPr>
          <w:p w14:paraId="56316BF7" w14:textId="77777777" w:rsidR="00A23BD2" w:rsidRPr="002C2304" w:rsidRDefault="00A23BD2" w:rsidP="00B06072">
            <w:pPr>
              <w:spacing w:beforeAutospacing="1" w:afterAutospacing="1"/>
              <w:jc w:val="center"/>
            </w:pPr>
            <w:r w:rsidRPr="00AA296E">
              <w:rPr>
                <w:color w:val="000000"/>
              </w:rPr>
              <w:t>0</w:t>
            </w:r>
          </w:p>
        </w:tc>
      </w:tr>
    </w:tbl>
    <w:p w14:paraId="31F33252" w14:textId="77777777" w:rsidR="00BE059B" w:rsidRPr="002C2304" w:rsidRDefault="00BE059B">
      <w:pPr>
        <w:pStyle w:val="NoSpacing"/>
        <w:rPr>
          <w:vanish/>
        </w:rPr>
      </w:pPr>
    </w:p>
    <w:p w14:paraId="59DE3187" w14:textId="77777777" w:rsidR="00BE059B" w:rsidRPr="002C2304" w:rsidRDefault="00BE059B">
      <w:pPr>
        <w:keepNext/>
        <w:widowControl w:val="0"/>
        <w:spacing w:after="0" w:line="240" w:lineRule="auto"/>
        <w:rPr>
          <w:b/>
          <w:vanish/>
          <w:sz w:val="24"/>
          <w:szCs w:val="24"/>
        </w:rPr>
      </w:pPr>
    </w:p>
    <w:p w14:paraId="3C1EFBA8" w14:textId="77777777" w:rsidR="00BE059B" w:rsidRPr="002C2304" w:rsidRDefault="00BE059B">
      <w:pPr>
        <w:pStyle w:val="NoSpacing"/>
        <w:rPr>
          <w:vanish/>
        </w:rPr>
      </w:pPr>
    </w:p>
    <w:p w14:paraId="0BA9404A" w14:textId="77777777" w:rsidR="00BE059B" w:rsidRPr="002C2304" w:rsidRDefault="00BE059B">
      <w:pPr>
        <w:pStyle w:val="NoSpacing"/>
        <w:rPr>
          <w:vanish/>
        </w:rPr>
      </w:pPr>
    </w:p>
    <w:p w14:paraId="77140BB4" w14:textId="77777777" w:rsidR="00BE059B" w:rsidRPr="002C2304" w:rsidRDefault="00BE059B">
      <w:pPr>
        <w:pStyle w:val="NoSpacing"/>
        <w:rPr>
          <w:vanish/>
        </w:rPr>
      </w:pPr>
    </w:p>
    <w:p w14:paraId="5711FAC4" w14:textId="77777777" w:rsidR="00BE059B" w:rsidRPr="002C2304" w:rsidRDefault="00BE059B">
      <w:pPr>
        <w:pStyle w:val="NoSpacing"/>
        <w:rPr>
          <w:vanish/>
        </w:rPr>
      </w:pPr>
    </w:p>
    <w:p w14:paraId="67CE0D23" w14:textId="77777777" w:rsidR="00BE059B" w:rsidRPr="002C2304" w:rsidRDefault="00BE059B">
      <w:pPr>
        <w:pStyle w:val="NoSpacing"/>
        <w:rPr>
          <w:vanish/>
        </w:rPr>
      </w:pPr>
    </w:p>
    <w:p w14:paraId="66DAF30B" w14:textId="77777777" w:rsidR="00BE059B" w:rsidRPr="002C2304" w:rsidRDefault="00BE059B">
      <w:pPr>
        <w:pStyle w:val="NoSpacing"/>
        <w:rPr>
          <w:vanish/>
        </w:rPr>
      </w:pPr>
    </w:p>
    <w:p w14:paraId="78AAEC72" w14:textId="77777777" w:rsidR="00BE059B" w:rsidRPr="002C2304" w:rsidRDefault="00BE059B">
      <w:pPr>
        <w:pStyle w:val="NoSpacing"/>
        <w:rPr>
          <w:vanish/>
        </w:rPr>
      </w:pPr>
    </w:p>
    <w:p w14:paraId="503DD07E" w14:textId="77777777" w:rsidR="00BE059B" w:rsidRPr="002C2304" w:rsidRDefault="00BE059B">
      <w:pPr>
        <w:pStyle w:val="NoSpacing"/>
        <w:rPr>
          <w:vanish/>
        </w:rPr>
      </w:pPr>
    </w:p>
    <w:p w14:paraId="6E744E02" w14:textId="77777777" w:rsidR="00BE059B" w:rsidRPr="002C2304" w:rsidRDefault="00BE059B">
      <w:pPr>
        <w:pStyle w:val="NoSpacing"/>
        <w:rPr>
          <w:vanish/>
        </w:rPr>
      </w:pPr>
    </w:p>
    <w:p w14:paraId="7EE19391" w14:textId="77777777" w:rsidR="00BE059B" w:rsidRPr="002C2304" w:rsidRDefault="00BE059B">
      <w:pPr>
        <w:pStyle w:val="NoSpacing"/>
        <w:rPr>
          <w:vanish/>
        </w:rPr>
      </w:pPr>
    </w:p>
    <w:p w14:paraId="2EE710CC" w14:textId="77777777" w:rsidR="00BE059B" w:rsidRPr="002C2304" w:rsidRDefault="00BE059B">
      <w:pPr>
        <w:pStyle w:val="NoSpacing"/>
        <w:rPr>
          <w:vanish/>
        </w:rPr>
      </w:pPr>
    </w:p>
    <w:p w14:paraId="717C23F8" w14:textId="77777777" w:rsidR="00BE059B" w:rsidRPr="002C2304" w:rsidRDefault="00BE059B">
      <w:pPr>
        <w:pStyle w:val="NoSpacing"/>
        <w:rPr>
          <w:vanish/>
        </w:rPr>
      </w:pPr>
    </w:p>
    <w:p w14:paraId="427CD455" w14:textId="77777777" w:rsidR="00BE059B" w:rsidRPr="002C2304" w:rsidRDefault="00BE059B">
      <w:pPr>
        <w:pStyle w:val="NoSpacing"/>
        <w:rPr>
          <w:vanish/>
        </w:rPr>
      </w:pPr>
    </w:p>
    <w:p w14:paraId="49EAA8CE" w14:textId="77777777" w:rsidR="00BE059B" w:rsidRPr="002C2304" w:rsidRDefault="00BE059B">
      <w:pPr>
        <w:pStyle w:val="NoSpacing"/>
        <w:rPr>
          <w:vanish/>
        </w:rPr>
      </w:pPr>
    </w:p>
    <w:p w14:paraId="4A5ABE34" w14:textId="77777777" w:rsidR="00BE059B" w:rsidRPr="002C2304" w:rsidRDefault="00BE059B">
      <w:pPr>
        <w:pStyle w:val="NoSpacing"/>
        <w:rPr>
          <w:vanish/>
        </w:rPr>
      </w:pPr>
    </w:p>
    <w:p w14:paraId="163FA2CA" w14:textId="77777777" w:rsidR="00BE059B" w:rsidRPr="002C2304" w:rsidRDefault="00BE059B">
      <w:pPr>
        <w:pStyle w:val="NoSpacing"/>
        <w:rPr>
          <w:vanish/>
        </w:rPr>
      </w:pPr>
    </w:p>
    <w:p w14:paraId="2254E751" w14:textId="77777777" w:rsidR="00BE059B" w:rsidRPr="002C2304" w:rsidRDefault="00BE059B">
      <w:pPr>
        <w:pStyle w:val="NoSpacing"/>
        <w:rPr>
          <w:vanish/>
        </w:rPr>
      </w:pPr>
    </w:p>
    <w:p w14:paraId="2E3AD04A" w14:textId="77777777" w:rsidR="00BE059B" w:rsidRPr="002C2304" w:rsidRDefault="00BE059B">
      <w:pPr>
        <w:pStyle w:val="NoSpacing"/>
        <w:rPr>
          <w:vanish/>
        </w:rPr>
      </w:pPr>
    </w:p>
    <w:p w14:paraId="215573C3" w14:textId="77777777" w:rsidR="00BE059B" w:rsidRPr="002C2304" w:rsidRDefault="00BE059B">
      <w:pPr>
        <w:pStyle w:val="NoSpacing"/>
        <w:rPr>
          <w:vanish/>
        </w:rPr>
      </w:pPr>
    </w:p>
    <w:p w14:paraId="4370A40B" w14:textId="2EBA5A62" w:rsidR="00BE059B" w:rsidRPr="002C2304" w:rsidRDefault="00FB5456" w:rsidP="00A81D36">
      <w:pPr>
        <w:keepNext/>
        <w:widowControl w:val="0"/>
        <w:ind w:firstLine="720"/>
        <w:rPr>
          <w:b/>
          <w:color w:val="000000" w:themeColor="text1"/>
          <w:sz w:val="20"/>
          <w:szCs w:val="20"/>
        </w:rPr>
      </w:pPr>
      <w:r w:rsidRPr="002C2304">
        <w:rPr>
          <w:rFonts w:asciiTheme="minorHAnsi" w:hAnsiTheme="minorHAnsi"/>
          <w:b/>
          <w:sz w:val="20"/>
          <w:szCs w:val="20"/>
        </w:rPr>
        <w:t xml:space="preserve">Table </w:t>
      </w:r>
      <w:r w:rsidRPr="002C2304">
        <w:rPr>
          <w:rFonts w:asciiTheme="minorHAnsi" w:hAnsiTheme="minorHAnsi"/>
          <w:b/>
          <w:sz w:val="20"/>
          <w:szCs w:val="20"/>
        </w:rPr>
        <w:fldChar w:fldCharType="begin"/>
      </w:r>
      <w:r w:rsidRPr="002C2304">
        <w:rPr>
          <w:rFonts w:asciiTheme="minorHAnsi" w:hAnsiTheme="minorHAnsi"/>
          <w:b/>
          <w:sz w:val="20"/>
          <w:szCs w:val="20"/>
        </w:rPr>
        <w:instrText xml:space="preserve"> SEQ Table \* ARABIC </w:instrText>
      </w:r>
      <w:r w:rsidRPr="002C2304">
        <w:rPr>
          <w:rFonts w:asciiTheme="minorHAnsi" w:hAnsiTheme="minorHAnsi"/>
          <w:b/>
          <w:sz w:val="20"/>
          <w:szCs w:val="20"/>
        </w:rPr>
        <w:fldChar w:fldCharType="separate"/>
      </w:r>
      <w:r w:rsidRPr="002C2304">
        <w:rPr>
          <w:rFonts w:asciiTheme="minorHAnsi" w:hAnsiTheme="minorHAnsi"/>
          <w:b/>
          <w:sz w:val="20"/>
          <w:szCs w:val="20"/>
        </w:rPr>
        <w:t>2</w:t>
      </w:r>
      <w:r w:rsidRPr="002C2304">
        <w:rPr>
          <w:rFonts w:asciiTheme="minorHAnsi" w:hAnsiTheme="minorHAnsi"/>
          <w:b/>
          <w:sz w:val="20"/>
          <w:szCs w:val="20"/>
        </w:rPr>
        <w:fldChar w:fldCharType="end"/>
      </w:r>
      <w:r w:rsidRPr="002C2304">
        <w:rPr>
          <w:rFonts w:asciiTheme="minorHAnsi" w:hAnsiTheme="minorHAnsi"/>
          <w:b/>
          <w:sz w:val="20"/>
          <w:szCs w:val="20"/>
        </w:rPr>
        <w:t xml:space="preserve"> – Table of assistance to racial and ethnic populations by source of funds</w:t>
      </w:r>
      <w:r w:rsidRPr="002C2304">
        <w:rPr>
          <w:b/>
          <w:color w:val="000000" w:themeColor="text1"/>
          <w:sz w:val="20"/>
          <w:szCs w:val="20"/>
        </w:rPr>
        <w:t xml:space="preserve"> </w:t>
      </w:r>
    </w:p>
    <w:p w14:paraId="53521422" w14:textId="43F15227" w:rsidR="00BE059B" w:rsidRPr="00052134" w:rsidRDefault="00FB5456">
      <w:pPr>
        <w:widowControl w:val="0"/>
        <w:rPr>
          <w:b/>
          <w:sz w:val="24"/>
          <w:szCs w:val="24"/>
        </w:rPr>
      </w:pPr>
      <w:r w:rsidRPr="00052134">
        <w:rPr>
          <w:b/>
          <w:sz w:val="24"/>
          <w:szCs w:val="24"/>
        </w:rPr>
        <w:t>Narrative</w:t>
      </w:r>
    </w:p>
    <w:p w14:paraId="0D93D677" w14:textId="19ABEF60" w:rsidR="00903386" w:rsidRPr="004B271C" w:rsidRDefault="00AA296E" w:rsidP="00903386">
      <w:pPr>
        <w:widowControl w:val="0"/>
        <w:spacing w:beforeAutospacing="1" w:afterAutospacing="1"/>
      </w:pPr>
      <w:r w:rsidRPr="00052134">
        <w:t>In</w:t>
      </w:r>
      <w:r w:rsidR="00903386" w:rsidRPr="00052134">
        <w:t xml:space="preserve"> FY </w:t>
      </w:r>
      <w:r w:rsidR="004860C2" w:rsidRPr="00052134">
        <w:t>202</w:t>
      </w:r>
      <w:r w:rsidRPr="00052134">
        <w:t>3</w:t>
      </w:r>
      <w:r w:rsidR="004860C2" w:rsidRPr="00052134">
        <w:t>-202</w:t>
      </w:r>
      <w:r w:rsidR="00474D46" w:rsidRPr="00052134">
        <w:t>4</w:t>
      </w:r>
      <w:r w:rsidR="00903386" w:rsidRPr="00052134">
        <w:t>, the City's Public Service programs</w:t>
      </w:r>
      <w:r w:rsidR="00474D46" w:rsidRPr="00052134">
        <w:t xml:space="preserve"> included the Family Violence Prevention Pr</w:t>
      </w:r>
      <w:r w:rsidR="00B5591B" w:rsidRPr="00052134">
        <w:t xml:space="preserve">ogram, Police Explorers, and the Southern California </w:t>
      </w:r>
      <w:r w:rsidR="00277FF0" w:rsidRPr="00052134">
        <w:t>Rehabilitation Services Home Modification Program</w:t>
      </w:r>
      <w:r w:rsidR="00F76FB9" w:rsidRPr="00052134">
        <w:t>.</w:t>
      </w:r>
      <w:r w:rsidR="00C2409D" w:rsidRPr="00052134">
        <w:t xml:space="preserve"> Table 2 is reflective of beneficiary data </w:t>
      </w:r>
      <w:r w:rsidR="00746098" w:rsidRPr="00052134">
        <w:t>provided by these public services agencies along with the Fair Housing Foundation.</w:t>
      </w:r>
      <w:r w:rsidR="00F76FB9" w:rsidRPr="00052134">
        <w:t xml:space="preserve"> As part of its </w:t>
      </w:r>
      <w:r w:rsidR="004B271C" w:rsidRPr="00052134">
        <w:t xml:space="preserve">public serviced the City also continued to fund its </w:t>
      </w:r>
      <w:r w:rsidR="00B97AB1" w:rsidRPr="00052134">
        <w:t xml:space="preserve">Graffiti Abatement </w:t>
      </w:r>
      <w:r w:rsidR="00EB65B8" w:rsidRPr="00052134">
        <w:t>Program</w:t>
      </w:r>
      <w:r w:rsidR="004B271C" w:rsidRPr="00052134">
        <w:t>, however as that program</w:t>
      </w:r>
      <w:r w:rsidR="00EB65B8" w:rsidRPr="00052134">
        <w:t xml:space="preserve"> does not report on individual beneficiary data</w:t>
      </w:r>
      <w:r w:rsidR="004B271C" w:rsidRPr="00052134">
        <w:t xml:space="preserve"> (data reported based on census tracts served)</w:t>
      </w:r>
      <w:r w:rsidR="00F26705" w:rsidRPr="00052134">
        <w:t xml:space="preserve"> their data is not included in Table 2. </w:t>
      </w:r>
    </w:p>
    <w:p w14:paraId="475BCFE5" w14:textId="66E5543B" w:rsidR="00A81D36" w:rsidRPr="00767897" w:rsidRDefault="00331149" w:rsidP="00903386">
      <w:pPr>
        <w:widowControl w:val="0"/>
        <w:spacing w:beforeAutospacing="1" w:afterAutospacing="1"/>
        <w:rPr>
          <w:highlight w:val="yellow"/>
        </w:rPr>
      </w:pPr>
      <w:r w:rsidRPr="005B32B5">
        <w:t>Although the City</w:t>
      </w:r>
      <w:r w:rsidR="00A81D36" w:rsidRPr="005B32B5">
        <w:t xml:space="preserve"> </w:t>
      </w:r>
      <w:r w:rsidR="00207317" w:rsidRPr="005B32B5">
        <w:t xml:space="preserve">continued </w:t>
      </w:r>
      <w:r w:rsidR="00131883" w:rsidRPr="005B32B5">
        <w:t xml:space="preserve">its </w:t>
      </w:r>
      <w:r w:rsidR="00A81D36" w:rsidRPr="005B32B5">
        <w:t>challenge</w:t>
      </w:r>
      <w:r w:rsidR="00131883" w:rsidRPr="005B32B5">
        <w:t xml:space="preserve"> of </w:t>
      </w:r>
      <w:r w:rsidR="00A81D36" w:rsidRPr="005B32B5">
        <w:t>finding eligible applicants the HOME Rehabilitation Program did not complete any projects.</w:t>
      </w:r>
      <w:r w:rsidR="00E90722" w:rsidRPr="005B32B5">
        <w:t xml:space="preserve"> However, it was able to complete a two-unit project that was started </w:t>
      </w:r>
      <w:r w:rsidR="005B32B5" w:rsidRPr="005B32B5">
        <w:t xml:space="preserve">in the previous program year. </w:t>
      </w:r>
      <w:r w:rsidR="00A81D36" w:rsidRPr="00767897">
        <w:rPr>
          <w:highlight w:val="yellow"/>
        </w:rPr>
        <w:t xml:space="preserve"> </w:t>
      </w:r>
    </w:p>
    <w:p w14:paraId="27B05919" w14:textId="3B12CCB8" w:rsidR="006A1BAA" w:rsidRPr="007E07A3" w:rsidRDefault="009532C9" w:rsidP="00903386">
      <w:pPr>
        <w:widowControl w:val="0"/>
        <w:spacing w:beforeAutospacing="1" w:afterAutospacing="1"/>
      </w:pPr>
      <w:r w:rsidRPr="0041787B">
        <w:t>The City of South Gate previously received a total of a total of $1,738,226 of supplemental CDBG-Coronavirus (CDBG-CV) funds to use to prepare, prevent, and respond to the Coronavirus pandemic (COVID-19).  The City amend</w:t>
      </w:r>
      <w:r w:rsidR="0041787B" w:rsidRPr="0041787B">
        <w:t>ed</w:t>
      </w:r>
      <w:r w:rsidRPr="0041787B">
        <w:t xml:space="preserve"> their </w:t>
      </w:r>
      <w:r w:rsidRPr="007E07A3">
        <w:t xml:space="preserve">2019-2020 Annual Action Plan to program their CDBG-CV funds and funded </w:t>
      </w:r>
      <w:r w:rsidR="00965FD2" w:rsidRPr="007E07A3">
        <w:t>several</w:t>
      </w:r>
      <w:r w:rsidRPr="007E07A3">
        <w:t xml:space="preserve"> activities to help support their residents through the coronavirus pandemic. </w:t>
      </w:r>
      <w:r w:rsidR="006A1BAA" w:rsidRPr="007E07A3">
        <w:t>Programs that continued to offer services</w:t>
      </w:r>
      <w:r w:rsidR="002E453B" w:rsidRPr="007E07A3">
        <w:t xml:space="preserve"> in FY 2</w:t>
      </w:r>
      <w:r w:rsidR="0041787B" w:rsidRPr="007E07A3">
        <w:t>3</w:t>
      </w:r>
      <w:r w:rsidR="002E453B" w:rsidRPr="007E07A3">
        <w:t>-2</w:t>
      </w:r>
      <w:r w:rsidR="0041787B" w:rsidRPr="007E07A3">
        <w:t>4</w:t>
      </w:r>
      <w:r w:rsidR="006A1BAA" w:rsidRPr="007E07A3">
        <w:t xml:space="preserve"> included</w:t>
      </w:r>
      <w:r w:rsidR="00C74F5A" w:rsidRPr="007E07A3">
        <w:t xml:space="preserve"> the California Latino Leadership Institute</w:t>
      </w:r>
      <w:r w:rsidR="006A1BAA" w:rsidRPr="007E07A3">
        <w:t xml:space="preserve"> the South Gate Family Violence Prevention Program, </w:t>
      </w:r>
      <w:r w:rsidR="00A81D36" w:rsidRPr="007E07A3">
        <w:t>Rental</w:t>
      </w:r>
      <w:r w:rsidR="000C7AF1" w:rsidRPr="007E07A3">
        <w:t xml:space="preserve"> &amp;</w:t>
      </w:r>
      <w:r w:rsidR="00A81D36" w:rsidRPr="007E07A3">
        <w:t xml:space="preserve"> Utility Assistance, </w:t>
      </w:r>
      <w:r w:rsidR="00A0165F" w:rsidRPr="007E07A3">
        <w:t xml:space="preserve">and Home Modification Services for those with development or physical </w:t>
      </w:r>
      <w:r w:rsidR="000C7AF1" w:rsidRPr="007E07A3">
        <w:t>disabilities</w:t>
      </w:r>
      <w:r w:rsidR="00A81D36" w:rsidRPr="007E07A3">
        <w:t xml:space="preserve">. </w:t>
      </w:r>
    </w:p>
    <w:p w14:paraId="0DAEC577" w14:textId="77777777" w:rsidR="00BE059B" w:rsidRPr="00767897" w:rsidRDefault="00BE059B">
      <w:pPr>
        <w:rPr>
          <w:highlight w:val="yellow"/>
        </w:rPr>
        <w:sectPr w:rsidR="00BE059B" w:rsidRPr="00767897" w:rsidSect="00A23BD2">
          <w:pgSz w:w="12240" w:h="15840" w:code="1"/>
          <w:pgMar w:top="1440" w:right="1440" w:bottom="1440" w:left="1440" w:header="720" w:footer="720" w:gutter="0"/>
          <w:cols w:space="720"/>
          <w:docGrid w:linePitch="360"/>
        </w:sectPr>
      </w:pPr>
    </w:p>
    <w:p w14:paraId="04DA0F98" w14:textId="77777777" w:rsidR="00BE059B" w:rsidRPr="00A14612" w:rsidRDefault="00FB5456">
      <w:pPr>
        <w:pStyle w:val="Heading2"/>
        <w:rPr>
          <w:rFonts w:ascii="Calibri" w:hAnsi="Calibri"/>
          <w:i w:val="0"/>
        </w:rPr>
      </w:pPr>
      <w:bookmarkStart w:id="4" w:name="_Toc142647848"/>
      <w:bookmarkEnd w:id="3"/>
      <w:r w:rsidRPr="00A14612">
        <w:rPr>
          <w:rFonts w:ascii="Calibri" w:hAnsi="Calibri"/>
          <w:i w:val="0"/>
        </w:rPr>
        <w:lastRenderedPageBreak/>
        <w:t>CR-15 - Resources and Investments 91.520(a)</w:t>
      </w:r>
      <w:bookmarkEnd w:id="4"/>
    </w:p>
    <w:p w14:paraId="3C94F7E3" w14:textId="77777777" w:rsidR="00BE059B" w:rsidRPr="00A14612" w:rsidRDefault="00FB5456">
      <w:pPr>
        <w:keepNext/>
        <w:widowControl w:val="0"/>
        <w:spacing w:after="0" w:line="240" w:lineRule="auto"/>
        <w:rPr>
          <w:b/>
          <w:sz w:val="24"/>
          <w:szCs w:val="24"/>
        </w:rPr>
      </w:pPr>
      <w:r w:rsidRPr="00A14612">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1"/>
        <w:gridCol w:w="2346"/>
        <w:gridCol w:w="2342"/>
      </w:tblGrid>
      <w:tr w:rsidR="00BE059B" w:rsidRPr="00A14612" w14:paraId="091A4613" w14:textId="77777777" w:rsidTr="004170C2">
        <w:trPr>
          <w:cantSplit/>
        </w:trPr>
        <w:tc>
          <w:tcPr>
            <w:tcW w:w="2331" w:type="dxa"/>
          </w:tcPr>
          <w:p w14:paraId="39F685C0" w14:textId="77777777" w:rsidR="00BE059B" w:rsidRPr="00A14612" w:rsidRDefault="00FB5456">
            <w:pPr>
              <w:keepNext/>
              <w:widowControl w:val="0"/>
              <w:spacing w:after="0" w:line="240" w:lineRule="auto"/>
              <w:jc w:val="center"/>
              <w:rPr>
                <w:rFonts w:cs="Arial"/>
                <w:b/>
              </w:rPr>
            </w:pPr>
            <w:r w:rsidRPr="00A14612">
              <w:rPr>
                <w:rFonts w:cs="Arial"/>
                <w:b/>
              </w:rPr>
              <w:t>Source of Funds</w:t>
            </w:r>
          </w:p>
        </w:tc>
        <w:tc>
          <w:tcPr>
            <w:tcW w:w="2331" w:type="dxa"/>
          </w:tcPr>
          <w:p w14:paraId="4175D8C3" w14:textId="77777777" w:rsidR="00BE059B" w:rsidRPr="00A14612" w:rsidRDefault="00FB5456">
            <w:pPr>
              <w:keepNext/>
              <w:widowControl w:val="0"/>
              <w:spacing w:after="0" w:line="240" w:lineRule="auto"/>
              <w:jc w:val="center"/>
              <w:rPr>
                <w:rFonts w:cs="Arial"/>
                <w:b/>
              </w:rPr>
            </w:pPr>
            <w:r w:rsidRPr="00A14612">
              <w:rPr>
                <w:rFonts w:cs="Arial"/>
                <w:b/>
              </w:rPr>
              <w:t>Source</w:t>
            </w:r>
          </w:p>
        </w:tc>
        <w:tc>
          <w:tcPr>
            <w:tcW w:w="2346" w:type="dxa"/>
          </w:tcPr>
          <w:p w14:paraId="61098BA7" w14:textId="77777777" w:rsidR="00BE059B" w:rsidRPr="00A14612" w:rsidRDefault="00FB5456">
            <w:pPr>
              <w:keepNext/>
              <w:spacing w:after="0" w:line="240" w:lineRule="auto"/>
              <w:jc w:val="center"/>
              <w:rPr>
                <w:rFonts w:cs="Arial"/>
                <w:b/>
              </w:rPr>
            </w:pPr>
            <w:r w:rsidRPr="00A14612">
              <w:rPr>
                <w:rFonts w:cs="Arial"/>
                <w:b/>
              </w:rPr>
              <w:t>Resources Made Available</w:t>
            </w:r>
          </w:p>
        </w:tc>
        <w:tc>
          <w:tcPr>
            <w:tcW w:w="2342" w:type="dxa"/>
          </w:tcPr>
          <w:p w14:paraId="463F6534" w14:textId="77777777" w:rsidR="00BE059B" w:rsidRPr="00A14612" w:rsidRDefault="00FB5456">
            <w:pPr>
              <w:keepNext/>
              <w:widowControl w:val="0"/>
              <w:spacing w:after="0" w:line="240" w:lineRule="auto"/>
              <w:jc w:val="center"/>
              <w:rPr>
                <w:rFonts w:cs="Arial"/>
                <w:b/>
              </w:rPr>
            </w:pPr>
            <w:r w:rsidRPr="00A14612">
              <w:rPr>
                <w:rFonts w:cs="Arial"/>
                <w:b/>
              </w:rPr>
              <w:t>Amount Expended During Program Year</w:t>
            </w:r>
          </w:p>
        </w:tc>
      </w:tr>
      <w:tr w:rsidR="00BE059B" w:rsidRPr="00767897" w14:paraId="46501EAF" w14:textId="77777777" w:rsidTr="00D93934">
        <w:trPr>
          <w:cantSplit/>
        </w:trPr>
        <w:tc>
          <w:tcPr>
            <w:tcW w:w="0" w:type="auto"/>
            <w:vAlign w:val="bottom"/>
          </w:tcPr>
          <w:p w14:paraId="4FFEF3A2" w14:textId="77777777" w:rsidR="00BE059B" w:rsidRPr="00A14612" w:rsidRDefault="00FB5456">
            <w:pPr>
              <w:spacing w:beforeAutospacing="1" w:afterAutospacing="1"/>
            </w:pPr>
            <w:r w:rsidRPr="00A14612">
              <w:rPr>
                <w:color w:val="000000"/>
              </w:rPr>
              <w:t>CDBG</w:t>
            </w:r>
          </w:p>
        </w:tc>
        <w:tc>
          <w:tcPr>
            <w:tcW w:w="0" w:type="auto"/>
            <w:vAlign w:val="bottom"/>
          </w:tcPr>
          <w:p w14:paraId="02D5788E" w14:textId="77777777" w:rsidR="00BE059B" w:rsidRPr="00A14612" w:rsidRDefault="00FB5456">
            <w:pPr>
              <w:spacing w:beforeAutospacing="1" w:afterAutospacing="1"/>
            </w:pPr>
            <w:r w:rsidRPr="00A14612">
              <w:rPr>
                <w:color w:val="000000"/>
              </w:rPr>
              <w:t>public - federal</w:t>
            </w:r>
          </w:p>
        </w:tc>
        <w:tc>
          <w:tcPr>
            <w:tcW w:w="0" w:type="auto"/>
            <w:vAlign w:val="bottom"/>
          </w:tcPr>
          <w:p w14:paraId="527E85E0" w14:textId="46CE08C3" w:rsidR="00BE059B" w:rsidRPr="00A14612" w:rsidRDefault="00D05AD2" w:rsidP="00D05AD2">
            <w:pPr>
              <w:spacing w:beforeAutospacing="1" w:afterAutospacing="1"/>
              <w:jc w:val="right"/>
            </w:pPr>
            <w:r w:rsidRPr="00A14612">
              <w:rPr>
                <w:color w:val="000000"/>
              </w:rPr>
              <w:t>$</w:t>
            </w:r>
            <w:r w:rsidR="00A14612">
              <w:rPr>
                <w:color w:val="000000"/>
              </w:rPr>
              <w:t>1,318,527</w:t>
            </w:r>
          </w:p>
        </w:tc>
        <w:tc>
          <w:tcPr>
            <w:tcW w:w="0" w:type="auto"/>
            <w:shd w:val="clear" w:color="auto" w:fill="auto"/>
            <w:vAlign w:val="bottom"/>
          </w:tcPr>
          <w:p w14:paraId="5AE2B53F" w14:textId="478C55FC" w:rsidR="00BE059B" w:rsidRPr="00A14612" w:rsidRDefault="004170C2">
            <w:pPr>
              <w:spacing w:beforeAutospacing="1" w:afterAutospacing="1"/>
              <w:jc w:val="right"/>
            </w:pPr>
            <w:r w:rsidRPr="00A14612">
              <w:rPr>
                <w:highlight w:val="yellow"/>
              </w:rPr>
              <w:t>$</w:t>
            </w:r>
            <w:proofErr w:type="spellStart"/>
            <w:proofErr w:type="gramStart"/>
            <w:r w:rsidR="00A14612" w:rsidRPr="00A14612">
              <w:rPr>
                <w:highlight w:val="yellow"/>
              </w:rPr>
              <w:t>xxx,xxx</w:t>
            </w:r>
            <w:proofErr w:type="spellEnd"/>
            <w:proofErr w:type="gramEnd"/>
          </w:p>
        </w:tc>
      </w:tr>
      <w:tr w:rsidR="00BE059B" w:rsidRPr="00767897" w14:paraId="7D8F92FD" w14:textId="77777777" w:rsidTr="00833841">
        <w:trPr>
          <w:cantSplit/>
        </w:trPr>
        <w:tc>
          <w:tcPr>
            <w:tcW w:w="0" w:type="auto"/>
            <w:vAlign w:val="bottom"/>
          </w:tcPr>
          <w:p w14:paraId="0AB5EF87" w14:textId="77777777" w:rsidR="00BE059B" w:rsidRPr="00465AD1" w:rsidRDefault="00FB5456">
            <w:pPr>
              <w:spacing w:beforeAutospacing="1" w:afterAutospacing="1"/>
            </w:pPr>
            <w:r w:rsidRPr="00465AD1">
              <w:rPr>
                <w:color w:val="000000"/>
              </w:rPr>
              <w:t>HOME</w:t>
            </w:r>
          </w:p>
        </w:tc>
        <w:tc>
          <w:tcPr>
            <w:tcW w:w="0" w:type="auto"/>
            <w:vAlign w:val="bottom"/>
          </w:tcPr>
          <w:p w14:paraId="00B2BA41" w14:textId="77777777" w:rsidR="00BE059B" w:rsidRPr="00465AD1" w:rsidRDefault="00FB5456">
            <w:pPr>
              <w:spacing w:beforeAutospacing="1" w:afterAutospacing="1"/>
            </w:pPr>
            <w:r w:rsidRPr="00465AD1">
              <w:rPr>
                <w:color w:val="000000"/>
              </w:rPr>
              <w:t>public - federal</w:t>
            </w:r>
          </w:p>
        </w:tc>
        <w:tc>
          <w:tcPr>
            <w:tcW w:w="0" w:type="auto"/>
            <w:shd w:val="clear" w:color="auto" w:fill="auto"/>
            <w:vAlign w:val="bottom"/>
          </w:tcPr>
          <w:p w14:paraId="63A00988" w14:textId="5E3F6F11" w:rsidR="00BE059B" w:rsidRPr="00465AD1" w:rsidRDefault="00D05AD2">
            <w:pPr>
              <w:spacing w:beforeAutospacing="1" w:afterAutospacing="1"/>
              <w:jc w:val="right"/>
            </w:pPr>
            <w:r w:rsidRPr="00465AD1">
              <w:rPr>
                <w:color w:val="000000"/>
              </w:rPr>
              <w:t>$</w:t>
            </w:r>
            <w:r w:rsidR="00465AD1" w:rsidRPr="00465AD1">
              <w:rPr>
                <w:color w:val="000000"/>
              </w:rPr>
              <w:t>740,613</w:t>
            </w:r>
          </w:p>
        </w:tc>
        <w:tc>
          <w:tcPr>
            <w:tcW w:w="0" w:type="auto"/>
            <w:shd w:val="clear" w:color="auto" w:fill="auto"/>
            <w:vAlign w:val="bottom"/>
          </w:tcPr>
          <w:p w14:paraId="0D9A8FE9" w14:textId="6C9ED580" w:rsidR="00BE059B" w:rsidRPr="00767897" w:rsidRDefault="004170C2">
            <w:pPr>
              <w:spacing w:beforeAutospacing="1" w:afterAutospacing="1"/>
              <w:jc w:val="right"/>
              <w:rPr>
                <w:highlight w:val="yellow"/>
              </w:rPr>
            </w:pPr>
            <w:r w:rsidRPr="00767897">
              <w:rPr>
                <w:color w:val="000000"/>
                <w:highlight w:val="yellow"/>
              </w:rPr>
              <w:t>$</w:t>
            </w:r>
            <w:proofErr w:type="spellStart"/>
            <w:proofErr w:type="gramStart"/>
            <w:r w:rsidR="00465AD1">
              <w:rPr>
                <w:color w:val="000000"/>
                <w:highlight w:val="yellow"/>
              </w:rPr>
              <w:t>xxx,xxx</w:t>
            </w:r>
            <w:proofErr w:type="spellEnd"/>
            <w:proofErr w:type="gramEnd"/>
            <w:r w:rsidRPr="00767897">
              <w:rPr>
                <w:color w:val="000000"/>
                <w:highlight w:val="yellow"/>
              </w:rPr>
              <w:t xml:space="preserve"> </w:t>
            </w:r>
          </w:p>
        </w:tc>
      </w:tr>
    </w:tbl>
    <w:p w14:paraId="3983FF81" w14:textId="77777777" w:rsidR="00BE059B" w:rsidRPr="00465AD1" w:rsidRDefault="00FB5456">
      <w:pPr>
        <w:pStyle w:val="Caption"/>
        <w:jc w:val="center"/>
        <w:rPr>
          <w:rFonts w:asciiTheme="minorHAnsi" w:hAnsiTheme="minorHAnsi"/>
        </w:rPr>
      </w:pPr>
      <w:r w:rsidRPr="00465AD1">
        <w:rPr>
          <w:rFonts w:asciiTheme="minorHAnsi" w:hAnsiTheme="minorHAnsi"/>
        </w:rPr>
        <w:t xml:space="preserve">Table </w:t>
      </w:r>
      <w:r w:rsidRPr="00465AD1">
        <w:rPr>
          <w:rFonts w:asciiTheme="minorHAnsi" w:hAnsiTheme="minorHAnsi"/>
        </w:rPr>
        <w:fldChar w:fldCharType="begin"/>
      </w:r>
      <w:r w:rsidRPr="00465AD1">
        <w:rPr>
          <w:rFonts w:asciiTheme="minorHAnsi" w:hAnsiTheme="minorHAnsi"/>
        </w:rPr>
        <w:instrText xml:space="preserve"> SEQ Table \* ARABIC </w:instrText>
      </w:r>
      <w:r w:rsidRPr="00465AD1">
        <w:rPr>
          <w:rFonts w:asciiTheme="minorHAnsi" w:hAnsiTheme="minorHAnsi"/>
        </w:rPr>
        <w:fldChar w:fldCharType="separate"/>
      </w:r>
      <w:r w:rsidRPr="00465AD1">
        <w:rPr>
          <w:rFonts w:asciiTheme="minorHAnsi" w:hAnsiTheme="minorHAnsi"/>
        </w:rPr>
        <w:t>3</w:t>
      </w:r>
      <w:r w:rsidRPr="00465AD1">
        <w:rPr>
          <w:rFonts w:asciiTheme="minorHAnsi" w:hAnsiTheme="minorHAnsi"/>
        </w:rPr>
        <w:fldChar w:fldCharType="end"/>
      </w:r>
      <w:r w:rsidRPr="00465AD1">
        <w:rPr>
          <w:rFonts w:asciiTheme="minorHAnsi" w:hAnsiTheme="minorHAnsi"/>
        </w:rPr>
        <w:t xml:space="preserve"> - Resources Made Available</w:t>
      </w:r>
    </w:p>
    <w:p w14:paraId="17EDCBF0" w14:textId="77777777" w:rsidR="00BE059B" w:rsidRPr="00767897" w:rsidRDefault="00BE059B">
      <w:pPr>
        <w:spacing w:after="0" w:line="240" w:lineRule="auto"/>
        <w:rPr>
          <w:b/>
          <w:sz w:val="24"/>
          <w:szCs w:val="24"/>
          <w:highlight w:val="yellow"/>
        </w:rPr>
      </w:pPr>
    </w:p>
    <w:p w14:paraId="18B56206" w14:textId="34EBE497" w:rsidR="00BE059B" w:rsidRPr="00BF24C0" w:rsidRDefault="00FB5456">
      <w:pPr>
        <w:spacing w:after="0" w:line="240" w:lineRule="auto"/>
        <w:rPr>
          <w:b/>
          <w:sz w:val="24"/>
          <w:szCs w:val="24"/>
        </w:rPr>
      </w:pPr>
      <w:r w:rsidRPr="00BF24C0">
        <w:rPr>
          <w:b/>
          <w:sz w:val="24"/>
          <w:szCs w:val="24"/>
        </w:rPr>
        <w:t>Narrative</w:t>
      </w:r>
    </w:p>
    <w:p w14:paraId="58AD4A29" w14:textId="0B02EC2A" w:rsidR="00D05AD2" w:rsidRPr="00BF24C0" w:rsidRDefault="00D05AD2">
      <w:pPr>
        <w:spacing w:after="0" w:line="240" w:lineRule="auto"/>
        <w:rPr>
          <w:b/>
          <w:sz w:val="24"/>
          <w:szCs w:val="24"/>
        </w:rPr>
      </w:pPr>
    </w:p>
    <w:p w14:paraId="0A2ABA36" w14:textId="619EB076" w:rsidR="00D05AD2" w:rsidRPr="00BF24C0" w:rsidRDefault="00D05AD2" w:rsidP="009635B3">
      <w:pPr>
        <w:spacing w:beforeAutospacing="1" w:afterAutospacing="1"/>
        <w:rPr>
          <w:rFonts w:cs="Arial"/>
        </w:rPr>
      </w:pPr>
      <w:r w:rsidRPr="00BF24C0">
        <w:rPr>
          <w:rFonts w:cs="Arial"/>
        </w:rPr>
        <w:t xml:space="preserve">For Program Year </w:t>
      </w:r>
      <w:r w:rsidR="004860C2" w:rsidRPr="00BF24C0">
        <w:t>2022-2023</w:t>
      </w:r>
      <w:r w:rsidRPr="00BF24C0">
        <w:rPr>
          <w:rFonts w:cs="Arial"/>
        </w:rPr>
        <w:t>, the City received $</w:t>
      </w:r>
      <w:r w:rsidR="00365368" w:rsidRPr="00BF24C0">
        <w:rPr>
          <w:rFonts w:cs="Arial"/>
        </w:rPr>
        <w:t>1,3</w:t>
      </w:r>
      <w:r w:rsidR="00E839FF" w:rsidRPr="00BF24C0">
        <w:rPr>
          <w:rFonts w:cs="Arial"/>
        </w:rPr>
        <w:t>1</w:t>
      </w:r>
      <w:r w:rsidR="00365368" w:rsidRPr="00BF24C0">
        <w:rPr>
          <w:rFonts w:cs="Arial"/>
        </w:rPr>
        <w:t>8,</w:t>
      </w:r>
      <w:r w:rsidR="00E839FF" w:rsidRPr="00BF24C0">
        <w:rPr>
          <w:rFonts w:cs="Arial"/>
        </w:rPr>
        <w:t>527</w:t>
      </w:r>
      <w:r w:rsidRPr="00BF24C0">
        <w:rPr>
          <w:rFonts w:cs="Arial"/>
        </w:rPr>
        <w:t xml:space="preserve"> in Community Development Block Grant (CDBG)</w:t>
      </w:r>
      <w:r w:rsidR="00BF24C0" w:rsidRPr="00BF24C0">
        <w:rPr>
          <w:rFonts w:cs="Arial"/>
        </w:rPr>
        <w:t xml:space="preserve"> and</w:t>
      </w:r>
      <w:r w:rsidRPr="00BF24C0">
        <w:rPr>
          <w:rFonts w:cs="Arial"/>
        </w:rPr>
        <w:t xml:space="preserve"> $</w:t>
      </w:r>
      <w:r w:rsidR="00BF24C0" w:rsidRPr="00BF24C0">
        <w:rPr>
          <w:rFonts w:cs="Arial"/>
        </w:rPr>
        <w:t>740,613</w:t>
      </w:r>
      <w:r w:rsidRPr="00BF24C0">
        <w:rPr>
          <w:rFonts w:cs="Arial"/>
        </w:rPr>
        <w:t xml:space="preserve"> in HOME Investment Partnership funds (HOME) </w:t>
      </w:r>
      <w:r w:rsidR="00485674" w:rsidRPr="00BF24C0">
        <w:rPr>
          <w:rFonts w:cs="Arial"/>
        </w:rPr>
        <w:t>funds</w:t>
      </w:r>
      <w:r w:rsidRPr="00BF24C0">
        <w:rPr>
          <w:rFonts w:cs="Arial"/>
        </w:rPr>
        <w:t xml:space="preserve">. </w:t>
      </w:r>
      <w:r w:rsidR="00365368" w:rsidRPr="00BF24C0">
        <w:rPr>
          <w:rFonts w:cs="Arial"/>
        </w:rPr>
        <w:t xml:space="preserve"> </w:t>
      </w:r>
    </w:p>
    <w:p w14:paraId="017E3DA0" w14:textId="77777777" w:rsidR="00BE059B" w:rsidRPr="00767897" w:rsidRDefault="00BE059B">
      <w:pPr>
        <w:spacing w:after="0" w:line="240" w:lineRule="auto"/>
        <w:rPr>
          <w:b/>
          <w:sz w:val="24"/>
          <w:szCs w:val="24"/>
          <w:highlight w:val="yellow"/>
        </w:rPr>
      </w:pPr>
    </w:p>
    <w:p w14:paraId="630ED480" w14:textId="77777777" w:rsidR="00BE059B" w:rsidRPr="00BF24C0" w:rsidRDefault="00FB5456">
      <w:pPr>
        <w:keepNext/>
        <w:spacing w:after="0" w:line="240" w:lineRule="auto"/>
        <w:rPr>
          <w:b/>
          <w:sz w:val="24"/>
          <w:szCs w:val="24"/>
        </w:rPr>
      </w:pPr>
      <w:r w:rsidRPr="00BF24C0">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273"/>
        <w:gridCol w:w="2273"/>
        <w:gridCol w:w="2557"/>
      </w:tblGrid>
      <w:tr w:rsidR="00BE059B" w:rsidRPr="00BF24C0" w14:paraId="7BCA5737" w14:textId="77777777">
        <w:trPr>
          <w:cantSplit/>
        </w:trPr>
        <w:tc>
          <w:tcPr>
            <w:tcW w:w="2394" w:type="dxa"/>
          </w:tcPr>
          <w:p w14:paraId="4AFB273D" w14:textId="77777777" w:rsidR="00BE059B" w:rsidRPr="00BF24C0" w:rsidRDefault="00FB5456">
            <w:pPr>
              <w:keepNext/>
              <w:widowControl w:val="0"/>
              <w:spacing w:after="0" w:line="240" w:lineRule="auto"/>
              <w:jc w:val="center"/>
              <w:rPr>
                <w:rFonts w:cs="Arial"/>
                <w:b/>
              </w:rPr>
            </w:pPr>
            <w:r w:rsidRPr="00BF24C0">
              <w:rPr>
                <w:rFonts w:cs="Arial"/>
                <w:b/>
              </w:rPr>
              <w:t>Target Area</w:t>
            </w:r>
          </w:p>
        </w:tc>
        <w:tc>
          <w:tcPr>
            <w:tcW w:w="2394" w:type="dxa"/>
          </w:tcPr>
          <w:p w14:paraId="201D3451" w14:textId="77777777" w:rsidR="00BE059B" w:rsidRPr="00BF24C0" w:rsidRDefault="00FB5456">
            <w:pPr>
              <w:keepNext/>
              <w:widowControl w:val="0"/>
              <w:spacing w:after="0" w:line="240" w:lineRule="auto"/>
              <w:jc w:val="center"/>
              <w:rPr>
                <w:rFonts w:cs="Arial"/>
                <w:b/>
              </w:rPr>
            </w:pPr>
            <w:r w:rsidRPr="00BF24C0">
              <w:rPr>
                <w:rFonts w:cs="Arial"/>
                <w:b/>
              </w:rPr>
              <w:t>Planned Percentage of Allocation</w:t>
            </w:r>
          </w:p>
        </w:tc>
        <w:tc>
          <w:tcPr>
            <w:tcW w:w="2394" w:type="dxa"/>
          </w:tcPr>
          <w:p w14:paraId="1B6CC325" w14:textId="77777777" w:rsidR="00BE059B" w:rsidRPr="00BF24C0" w:rsidRDefault="00FB5456">
            <w:pPr>
              <w:keepNext/>
              <w:spacing w:after="0" w:line="240" w:lineRule="auto"/>
              <w:jc w:val="center"/>
              <w:rPr>
                <w:rFonts w:cs="Arial"/>
                <w:b/>
              </w:rPr>
            </w:pPr>
            <w:r w:rsidRPr="00BF24C0">
              <w:rPr>
                <w:rFonts w:cs="Arial"/>
                <w:b/>
              </w:rPr>
              <w:t>Actual Percentage of Allocation</w:t>
            </w:r>
          </w:p>
        </w:tc>
        <w:tc>
          <w:tcPr>
            <w:tcW w:w="2394" w:type="dxa"/>
          </w:tcPr>
          <w:p w14:paraId="3687335D" w14:textId="77777777" w:rsidR="00BE059B" w:rsidRPr="00BF24C0" w:rsidRDefault="00FB5456">
            <w:pPr>
              <w:keepNext/>
              <w:widowControl w:val="0"/>
              <w:spacing w:after="0" w:line="240" w:lineRule="auto"/>
              <w:jc w:val="center"/>
              <w:rPr>
                <w:rFonts w:cs="Arial"/>
                <w:b/>
              </w:rPr>
            </w:pPr>
            <w:r w:rsidRPr="00BF24C0">
              <w:rPr>
                <w:rFonts w:cs="Arial"/>
                <w:b/>
              </w:rPr>
              <w:t>Narrative Description</w:t>
            </w:r>
          </w:p>
        </w:tc>
      </w:tr>
      <w:tr w:rsidR="00BE059B" w:rsidRPr="00BF24C0" w14:paraId="615DB94D" w14:textId="77777777">
        <w:trPr>
          <w:cantSplit/>
        </w:trPr>
        <w:tc>
          <w:tcPr>
            <w:tcW w:w="0" w:type="auto"/>
            <w:vAlign w:val="bottom"/>
          </w:tcPr>
          <w:p w14:paraId="1C80D06B" w14:textId="77777777" w:rsidR="00BE059B" w:rsidRPr="00BF24C0" w:rsidRDefault="00FB5456">
            <w:pPr>
              <w:spacing w:beforeAutospacing="1" w:afterAutospacing="1"/>
            </w:pPr>
            <w:r w:rsidRPr="00BF24C0">
              <w:rPr>
                <w:color w:val="000000"/>
              </w:rPr>
              <w:t>Citywide</w:t>
            </w:r>
          </w:p>
        </w:tc>
        <w:tc>
          <w:tcPr>
            <w:tcW w:w="0" w:type="auto"/>
            <w:vAlign w:val="bottom"/>
          </w:tcPr>
          <w:p w14:paraId="14C86108" w14:textId="77777777" w:rsidR="00BE059B" w:rsidRPr="00BF24C0" w:rsidRDefault="00FB5456" w:rsidP="00D05AD2">
            <w:pPr>
              <w:spacing w:beforeAutospacing="1" w:afterAutospacing="1"/>
              <w:jc w:val="center"/>
            </w:pPr>
            <w:r w:rsidRPr="00BF24C0">
              <w:rPr>
                <w:color w:val="000000"/>
              </w:rPr>
              <w:t>100</w:t>
            </w:r>
          </w:p>
        </w:tc>
        <w:tc>
          <w:tcPr>
            <w:tcW w:w="0" w:type="auto"/>
            <w:vAlign w:val="bottom"/>
          </w:tcPr>
          <w:p w14:paraId="663F204F" w14:textId="36D0C104" w:rsidR="00BE059B" w:rsidRPr="00BF24C0" w:rsidRDefault="00D05AD2" w:rsidP="00D05AD2">
            <w:pPr>
              <w:spacing w:beforeAutospacing="1" w:afterAutospacing="1"/>
              <w:jc w:val="center"/>
            </w:pPr>
            <w:r w:rsidRPr="00BF24C0">
              <w:rPr>
                <w:color w:val="000000"/>
              </w:rPr>
              <w:t>100</w:t>
            </w:r>
          </w:p>
        </w:tc>
        <w:tc>
          <w:tcPr>
            <w:tcW w:w="0" w:type="auto"/>
            <w:vAlign w:val="bottom"/>
          </w:tcPr>
          <w:p w14:paraId="1EC75D94" w14:textId="77777777" w:rsidR="00BE059B" w:rsidRPr="00BF24C0" w:rsidRDefault="00FB5456">
            <w:pPr>
              <w:spacing w:beforeAutospacing="1" w:afterAutospacing="1"/>
            </w:pPr>
            <w:r w:rsidRPr="00BF24C0">
              <w:rPr>
                <w:color w:val="000000"/>
              </w:rPr>
              <w:t>Other</w:t>
            </w:r>
          </w:p>
        </w:tc>
      </w:tr>
      <w:tr w:rsidR="00BE059B" w:rsidRPr="00BF24C0" w14:paraId="1686A09A" w14:textId="77777777">
        <w:trPr>
          <w:cantSplit/>
        </w:trPr>
        <w:tc>
          <w:tcPr>
            <w:tcW w:w="0" w:type="auto"/>
            <w:vAlign w:val="bottom"/>
          </w:tcPr>
          <w:p w14:paraId="639AA433" w14:textId="77777777" w:rsidR="00BE059B" w:rsidRPr="00BF24C0" w:rsidRDefault="00FB5456">
            <w:pPr>
              <w:spacing w:beforeAutospacing="1" w:afterAutospacing="1"/>
            </w:pPr>
            <w:r w:rsidRPr="00BF24C0">
              <w:rPr>
                <w:color w:val="000000"/>
              </w:rPr>
              <w:t>Eligible Target Areas</w:t>
            </w:r>
          </w:p>
        </w:tc>
        <w:tc>
          <w:tcPr>
            <w:tcW w:w="0" w:type="auto"/>
            <w:vAlign w:val="bottom"/>
          </w:tcPr>
          <w:p w14:paraId="3E9A2194" w14:textId="77777777" w:rsidR="00BE059B" w:rsidRPr="00BF24C0" w:rsidRDefault="00FB5456">
            <w:pPr>
              <w:spacing w:beforeAutospacing="1" w:afterAutospacing="1"/>
            </w:pPr>
            <w:r w:rsidRPr="00BF24C0">
              <w:rPr>
                <w:color w:val="000000"/>
              </w:rPr>
              <w:t xml:space="preserve"> </w:t>
            </w:r>
          </w:p>
        </w:tc>
        <w:tc>
          <w:tcPr>
            <w:tcW w:w="0" w:type="auto"/>
            <w:vAlign w:val="bottom"/>
          </w:tcPr>
          <w:p w14:paraId="3A06F791" w14:textId="77777777" w:rsidR="00BE059B" w:rsidRPr="00BF24C0" w:rsidRDefault="00FB5456">
            <w:pPr>
              <w:spacing w:beforeAutospacing="1" w:afterAutospacing="1"/>
            </w:pPr>
            <w:r w:rsidRPr="00BF24C0">
              <w:rPr>
                <w:color w:val="000000"/>
              </w:rPr>
              <w:t xml:space="preserve"> </w:t>
            </w:r>
          </w:p>
        </w:tc>
        <w:tc>
          <w:tcPr>
            <w:tcW w:w="0" w:type="auto"/>
            <w:vAlign w:val="bottom"/>
          </w:tcPr>
          <w:p w14:paraId="3854567C" w14:textId="77777777" w:rsidR="00BE059B" w:rsidRPr="00BF24C0" w:rsidRDefault="00FB5456">
            <w:pPr>
              <w:spacing w:beforeAutospacing="1" w:afterAutospacing="1"/>
            </w:pPr>
            <w:r w:rsidRPr="00BF24C0">
              <w:rPr>
                <w:color w:val="000000"/>
              </w:rPr>
              <w:t>Census Tracts/Block Groups</w:t>
            </w:r>
          </w:p>
        </w:tc>
      </w:tr>
    </w:tbl>
    <w:p w14:paraId="45CBE759" w14:textId="77777777" w:rsidR="00BE059B" w:rsidRPr="00BF24C0" w:rsidRDefault="00FB5456">
      <w:pPr>
        <w:pStyle w:val="Caption"/>
        <w:jc w:val="center"/>
        <w:rPr>
          <w:rFonts w:asciiTheme="minorHAnsi" w:hAnsiTheme="minorHAnsi"/>
        </w:rPr>
      </w:pPr>
      <w:r w:rsidRPr="00BF24C0">
        <w:rPr>
          <w:rFonts w:asciiTheme="minorHAnsi" w:hAnsiTheme="minorHAnsi"/>
        </w:rPr>
        <w:t xml:space="preserve">Table </w:t>
      </w:r>
      <w:r w:rsidRPr="00BF24C0">
        <w:rPr>
          <w:rFonts w:asciiTheme="minorHAnsi" w:hAnsiTheme="minorHAnsi"/>
        </w:rPr>
        <w:fldChar w:fldCharType="begin"/>
      </w:r>
      <w:r w:rsidRPr="00BF24C0">
        <w:rPr>
          <w:rFonts w:asciiTheme="minorHAnsi" w:hAnsiTheme="minorHAnsi"/>
        </w:rPr>
        <w:instrText xml:space="preserve"> SEQ Table \* ARABIC </w:instrText>
      </w:r>
      <w:r w:rsidRPr="00BF24C0">
        <w:rPr>
          <w:rFonts w:asciiTheme="minorHAnsi" w:hAnsiTheme="minorHAnsi"/>
        </w:rPr>
        <w:fldChar w:fldCharType="separate"/>
      </w:r>
      <w:r w:rsidRPr="00BF24C0">
        <w:rPr>
          <w:rFonts w:asciiTheme="minorHAnsi" w:hAnsiTheme="minorHAnsi"/>
        </w:rPr>
        <w:t>4</w:t>
      </w:r>
      <w:r w:rsidRPr="00BF24C0">
        <w:rPr>
          <w:rFonts w:asciiTheme="minorHAnsi" w:hAnsiTheme="minorHAnsi"/>
        </w:rPr>
        <w:fldChar w:fldCharType="end"/>
      </w:r>
      <w:r w:rsidRPr="00BF24C0">
        <w:rPr>
          <w:rFonts w:asciiTheme="minorHAnsi" w:hAnsiTheme="minorHAnsi"/>
        </w:rPr>
        <w:t xml:space="preserve"> – Identify the geographic distribution and location of investments</w:t>
      </w:r>
    </w:p>
    <w:p w14:paraId="3A770C09" w14:textId="77777777" w:rsidR="00BE059B" w:rsidRPr="00767897" w:rsidRDefault="00BE059B">
      <w:pPr>
        <w:keepNext/>
        <w:widowControl w:val="0"/>
        <w:spacing w:line="204" w:lineRule="auto"/>
        <w:rPr>
          <w:b/>
          <w:sz w:val="24"/>
          <w:szCs w:val="24"/>
          <w:highlight w:val="yellow"/>
        </w:rPr>
      </w:pPr>
    </w:p>
    <w:p w14:paraId="041592C9" w14:textId="6293A95B" w:rsidR="00BE059B" w:rsidRPr="000768C5" w:rsidRDefault="00FB5456">
      <w:pPr>
        <w:widowControl w:val="0"/>
        <w:spacing w:line="204" w:lineRule="auto"/>
        <w:rPr>
          <w:b/>
          <w:sz w:val="24"/>
          <w:szCs w:val="24"/>
        </w:rPr>
      </w:pPr>
      <w:r w:rsidRPr="000768C5">
        <w:rPr>
          <w:b/>
          <w:sz w:val="24"/>
          <w:szCs w:val="24"/>
        </w:rPr>
        <w:t>Narrative</w:t>
      </w:r>
    </w:p>
    <w:p w14:paraId="684348AA" w14:textId="77777777" w:rsidR="009635B3" w:rsidRPr="000768C5" w:rsidRDefault="009635B3" w:rsidP="009635B3">
      <w:pPr>
        <w:widowControl w:val="0"/>
        <w:spacing w:beforeAutospacing="1" w:afterAutospacing="1"/>
        <w:rPr>
          <w:rFonts w:cs="Arial"/>
        </w:rPr>
      </w:pPr>
      <w:r w:rsidRPr="000768C5">
        <w:rPr>
          <w:rFonts w:cs="Arial"/>
        </w:rPr>
        <w:t xml:space="preserve">To address the needs of all residents and expand its impact, the City does not focus on specific geographic areas, instead they distribute its CDBG and HOME funded investments Citywide. CDBG funded supportive services are designed to meet CDBG national objectives with a focus on benefiting low and moderate-income persons. </w:t>
      </w:r>
    </w:p>
    <w:p w14:paraId="55D50590" w14:textId="77777777" w:rsidR="009635B3" w:rsidRPr="00767897" w:rsidRDefault="009635B3">
      <w:pPr>
        <w:widowControl w:val="0"/>
        <w:spacing w:line="204" w:lineRule="auto"/>
        <w:rPr>
          <w:b/>
          <w:sz w:val="24"/>
          <w:szCs w:val="24"/>
          <w:highlight w:val="yellow"/>
        </w:rPr>
      </w:pPr>
    </w:p>
    <w:p w14:paraId="4AACD082" w14:textId="77777777" w:rsidR="00BE059B" w:rsidRPr="000D40F2" w:rsidRDefault="00FB5456">
      <w:pPr>
        <w:pageBreakBefore/>
        <w:widowControl w:val="0"/>
        <w:spacing w:line="240" w:lineRule="auto"/>
        <w:rPr>
          <w:b/>
          <w:sz w:val="24"/>
          <w:szCs w:val="24"/>
        </w:rPr>
      </w:pPr>
      <w:r w:rsidRPr="000D40F2">
        <w:rPr>
          <w:b/>
          <w:sz w:val="24"/>
          <w:szCs w:val="24"/>
        </w:rPr>
        <w:lastRenderedPageBreak/>
        <w:t>Leveraging</w:t>
      </w:r>
    </w:p>
    <w:p w14:paraId="62C7DA80" w14:textId="1F38AB6E" w:rsidR="00BE059B" w:rsidRPr="000D40F2" w:rsidRDefault="00FB5456">
      <w:pPr>
        <w:widowControl w:val="0"/>
        <w:spacing w:line="240" w:lineRule="auto"/>
        <w:rPr>
          <w:b/>
          <w:sz w:val="24"/>
          <w:szCs w:val="24"/>
        </w:rPr>
      </w:pPr>
      <w:r w:rsidRPr="000D40F2">
        <w:rPr>
          <w:b/>
          <w:sz w:val="24"/>
          <w:szCs w:val="24"/>
        </w:rPr>
        <w:t>Explain how federal funds leveraged additional resources (private, state</w:t>
      </w:r>
      <w:r w:rsidR="004D135E" w:rsidRPr="000D40F2">
        <w:rPr>
          <w:b/>
          <w:sz w:val="24"/>
          <w:szCs w:val="24"/>
        </w:rPr>
        <w:t>,</w:t>
      </w:r>
      <w:r w:rsidRPr="000D40F2">
        <w:rPr>
          <w:b/>
          <w:sz w:val="24"/>
          <w:szCs w:val="24"/>
        </w:rPr>
        <w:t xml:space="preserve"> and local funds), including a description of how matching requirements were satisfied, as well as how any publicly owned land or property located within the jurisdiction that were used to address the needs identified in the plan.</w:t>
      </w:r>
    </w:p>
    <w:p w14:paraId="47566F1F" w14:textId="77777777" w:rsidR="009635B3" w:rsidRPr="000D40F2" w:rsidRDefault="009635B3" w:rsidP="009635B3">
      <w:pPr>
        <w:spacing w:beforeAutospacing="1" w:afterAutospacing="1"/>
        <w:rPr>
          <w:rFonts w:cs="Arial"/>
        </w:rPr>
      </w:pPr>
      <w:r w:rsidRPr="000D40F2">
        <w:rPr>
          <w:rFonts w:cs="Arial"/>
          <w:u w:val="single"/>
        </w:rPr>
        <w:t>Leveraged Resources</w:t>
      </w:r>
    </w:p>
    <w:p w14:paraId="59F1C80F" w14:textId="77777777" w:rsidR="009635B3" w:rsidRPr="000D40F2" w:rsidRDefault="009635B3" w:rsidP="009635B3">
      <w:pPr>
        <w:spacing w:beforeAutospacing="1" w:afterAutospacing="1"/>
        <w:rPr>
          <w:rFonts w:cs="Arial"/>
        </w:rPr>
      </w:pPr>
      <w:r w:rsidRPr="000D40F2">
        <w:rPr>
          <w:rFonts w:cs="Arial"/>
        </w:rPr>
        <w:t>The following other Federal and Non-Federal funding sources were used to leverage funds allocated to activities: General Funds; Gas Tax; Water Funds; Sewer Funds; Metropolitan Transit Authority Funds; Measure R Funds; Housing Choice Voucher Funds (HCV).</w:t>
      </w:r>
      <w:r w:rsidRPr="000D40F2">
        <w:rPr>
          <w:rFonts w:cs="Arial"/>
          <w:b/>
        </w:rPr>
        <w:t> </w:t>
      </w:r>
    </w:p>
    <w:p w14:paraId="343E8A72" w14:textId="36419178" w:rsidR="00FB7851" w:rsidRPr="00702808" w:rsidRDefault="009635B3" w:rsidP="009635B3">
      <w:pPr>
        <w:spacing w:beforeAutospacing="1" w:afterAutospacing="1"/>
        <w:rPr>
          <w:rFonts w:cs="Arial"/>
          <w:b/>
        </w:rPr>
      </w:pPr>
      <w:r w:rsidRPr="000D40F2">
        <w:rPr>
          <w:rFonts w:cs="Arial"/>
        </w:rPr>
        <w:t xml:space="preserve">The City uses gas tax, water funds, sewer funds, and other resources to address public infrastructure </w:t>
      </w:r>
      <w:r w:rsidRPr="00702808">
        <w:rPr>
          <w:rFonts w:cs="Arial"/>
        </w:rPr>
        <w:t>needs.</w:t>
      </w:r>
    </w:p>
    <w:p w14:paraId="0D361EBF" w14:textId="704639FC" w:rsidR="00FB7851" w:rsidRPr="00702808" w:rsidRDefault="00FB7851" w:rsidP="009635B3">
      <w:pPr>
        <w:spacing w:beforeAutospacing="1" w:afterAutospacing="1"/>
        <w:rPr>
          <w:rFonts w:cs="Arial"/>
        </w:rPr>
      </w:pPr>
      <w:r w:rsidRPr="00702808">
        <w:rPr>
          <w:rFonts w:cstheme="minorHAnsi"/>
          <w:shd w:val="clear" w:color="auto" w:fill="FFFFFF"/>
        </w:rPr>
        <w:t>No publicly owned land or property located within the City’s jurisdiction was used to address any identified needs identified for the fiscal year in the plan.</w:t>
      </w:r>
    </w:p>
    <w:p w14:paraId="075A47F1" w14:textId="77777777" w:rsidR="009635B3" w:rsidRPr="00702808" w:rsidRDefault="009635B3" w:rsidP="009635B3">
      <w:pPr>
        <w:widowControl w:val="0"/>
        <w:spacing w:beforeAutospacing="1" w:afterAutospacing="1"/>
      </w:pPr>
      <w:r w:rsidRPr="00702808">
        <w:rPr>
          <w:u w:val="single"/>
        </w:rPr>
        <w:t xml:space="preserve">HOME Match </w:t>
      </w:r>
      <w:r w:rsidRPr="00702808">
        <w:t> </w:t>
      </w:r>
    </w:p>
    <w:p w14:paraId="2D86AAF0" w14:textId="77777777" w:rsidR="009635B3" w:rsidRPr="00702808" w:rsidRDefault="009635B3" w:rsidP="009635B3">
      <w:pPr>
        <w:widowControl w:val="0"/>
        <w:spacing w:beforeAutospacing="1" w:afterAutospacing="1"/>
      </w:pPr>
      <w:r w:rsidRPr="00702808">
        <w:t>As a recipient of HOME funds, the City is required to make non-Federal financial contributions to projects that qualify as affordable housing under the HOME Program. Annually, the match contributions must total a minimum of 25% of the HOME funds expended from the City’s HOME entitlement amount (less administration costs), unless the City has received a reduction in the match requirement.</w:t>
      </w:r>
    </w:p>
    <w:p w14:paraId="2258907B" w14:textId="77777777" w:rsidR="009635B3" w:rsidRPr="00702808" w:rsidRDefault="009635B3" w:rsidP="009635B3">
      <w:pPr>
        <w:widowControl w:val="0"/>
        <w:spacing w:beforeAutospacing="1" w:afterAutospacing="1"/>
      </w:pPr>
      <w:r w:rsidRPr="00702808">
        <w:t xml:space="preserve"> The HOME statute provides for a reduction of the matching contribution requirement under two criteria for fiscal and severe fiscal distress for local PJs: </w:t>
      </w:r>
    </w:p>
    <w:p w14:paraId="3AAB899D" w14:textId="77777777" w:rsidR="009635B3" w:rsidRPr="00702808" w:rsidRDefault="009635B3" w:rsidP="009635B3">
      <w:pPr>
        <w:pStyle w:val="ListParagraph"/>
        <w:widowControl w:val="0"/>
        <w:numPr>
          <w:ilvl w:val="0"/>
          <w:numId w:val="17"/>
        </w:numPr>
        <w:spacing w:beforeAutospacing="1" w:afterAutospacing="1"/>
      </w:pPr>
      <w:r w:rsidRPr="00702808">
        <w:t>Family poverty rate, and/or</w:t>
      </w:r>
    </w:p>
    <w:p w14:paraId="61CB1816" w14:textId="77777777" w:rsidR="009635B3" w:rsidRPr="00702808" w:rsidRDefault="009635B3" w:rsidP="009635B3">
      <w:pPr>
        <w:pStyle w:val="ListParagraph"/>
        <w:widowControl w:val="0"/>
        <w:numPr>
          <w:ilvl w:val="0"/>
          <w:numId w:val="17"/>
        </w:numPr>
        <w:spacing w:beforeAutospacing="1" w:afterAutospacing="1"/>
      </w:pPr>
      <w:r w:rsidRPr="00702808">
        <w:t>Per capita income (PCI)</w:t>
      </w:r>
    </w:p>
    <w:p w14:paraId="4767EBD8" w14:textId="77777777" w:rsidR="009635B3" w:rsidRPr="00702808" w:rsidRDefault="009635B3" w:rsidP="009635B3">
      <w:pPr>
        <w:widowControl w:val="0"/>
        <w:spacing w:beforeAutospacing="1" w:afterAutospacing="1"/>
      </w:pPr>
      <w:r w:rsidRPr="00702808">
        <w:t>When a local jurisdiction meets one of the distress criteria, it is determined to be in fiscal distress and receives a 50 percent reduction of the match. If a local jurisdiction satisfies both distress criteria, it is determined to be in severe fiscal distress and receives a 100 percent reduction of the match. The City of South Gate meets both distress criteria and, therefore, receives a 100 percent reduction of the match. </w:t>
      </w:r>
    </w:p>
    <w:p w14:paraId="28164116" w14:textId="77777777" w:rsidR="00BE059B" w:rsidRPr="00767897" w:rsidRDefault="00BE059B">
      <w:pPr>
        <w:widowControl w:val="0"/>
        <w:spacing w:after="0" w:line="240" w:lineRule="auto"/>
        <w:rPr>
          <w:sz w:val="24"/>
          <w:szCs w:val="24"/>
          <w:highlight w:val="yellow"/>
        </w:rPr>
      </w:pPr>
    </w:p>
    <w:p w14:paraId="78CBA1A3" w14:textId="77777777" w:rsidR="00BE059B" w:rsidRPr="00767897" w:rsidRDefault="00BE059B">
      <w:pPr>
        <w:spacing w:after="0" w:line="240" w:lineRule="auto"/>
        <w:rPr>
          <w:b/>
          <w:highlight w:val="yellow"/>
        </w:rPr>
      </w:pPr>
    </w:p>
    <w:p w14:paraId="3704D058" w14:textId="77777777" w:rsidR="00BE059B" w:rsidRPr="00767897" w:rsidRDefault="00BE059B">
      <w:pPr>
        <w:widowControl w:val="0"/>
        <w:spacing w:line="204" w:lineRule="auto"/>
        <w:rPr>
          <w:rFonts w:cs="Arial"/>
          <w:highlight w:val="yellow"/>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5"/>
        <w:gridCol w:w="2325"/>
      </w:tblGrid>
      <w:tr w:rsidR="00BE059B" w:rsidRPr="00702808" w14:paraId="3EE187CE" w14:textId="77777777" w:rsidTr="00EF2F4F">
        <w:trPr>
          <w:cantSplit/>
          <w:tblHeader/>
        </w:trPr>
        <w:tc>
          <w:tcPr>
            <w:tcW w:w="9350" w:type="dxa"/>
            <w:gridSpan w:val="2"/>
          </w:tcPr>
          <w:p w14:paraId="4EB9899F" w14:textId="77777777" w:rsidR="00BE059B" w:rsidRPr="00702808" w:rsidRDefault="00FB5456">
            <w:pPr>
              <w:keepNext/>
              <w:widowControl w:val="0"/>
              <w:spacing w:after="0" w:line="240" w:lineRule="auto"/>
              <w:jc w:val="center"/>
              <w:rPr>
                <w:rFonts w:cs="Arial"/>
              </w:rPr>
            </w:pPr>
            <w:r w:rsidRPr="00702808">
              <w:rPr>
                <w:b/>
              </w:rPr>
              <w:lastRenderedPageBreak/>
              <w:t>Fiscal Year Summary – HOME Match</w:t>
            </w:r>
          </w:p>
        </w:tc>
      </w:tr>
      <w:tr w:rsidR="00BE059B" w:rsidRPr="00702808" w14:paraId="046771FF" w14:textId="77777777" w:rsidTr="00EF2F4F">
        <w:trPr>
          <w:cantSplit/>
        </w:trPr>
        <w:tc>
          <w:tcPr>
            <w:tcW w:w="7025" w:type="dxa"/>
          </w:tcPr>
          <w:p w14:paraId="6D23CB04" w14:textId="77777777" w:rsidR="00BE059B" w:rsidRPr="00702808" w:rsidRDefault="00FB5456">
            <w:pPr>
              <w:keepNext/>
              <w:spacing w:after="0" w:line="240" w:lineRule="auto"/>
            </w:pPr>
            <w:r w:rsidRPr="00702808">
              <w:t>1. Excess match from prior Federal fiscal year</w:t>
            </w:r>
          </w:p>
        </w:tc>
        <w:tc>
          <w:tcPr>
            <w:tcW w:w="2325" w:type="dxa"/>
          </w:tcPr>
          <w:p w14:paraId="113048D9" w14:textId="1A26A8BE" w:rsidR="00BE059B" w:rsidRPr="00702808" w:rsidRDefault="00EF2F4F" w:rsidP="00EF2F4F">
            <w:pPr>
              <w:keepNext/>
              <w:widowControl w:val="0"/>
              <w:spacing w:after="0" w:line="240" w:lineRule="auto"/>
              <w:jc w:val="center"/>
              <w:rPr>
                <w:rFonts w:cs="Arial"/>
              </w:rPr>
            </w:pPr>
            <w:r w:rsidRPr="00702808">
              <w:rPr>
                <w:rFonts w:cs="Arial"/>
              </w:rPr>
              <w:t>0</w:t>
            </w:r>
          </w:p>
        </w:tc>
      </w:tr>
      <w:tr w:rsidR="00EF2F4F" w:rsidRPr="00702808" w14:paraId="4EE6C4FF" w14:textId="77777777" w:rsidTr="00EF2F4F">
        <w:trPr>
          <w:cantSplit/>
        </w:trPr>
        <w:tc>
          <w:tcPr>
            <w:tcW w:w="7025" w:type="dxa"/>
          </w:tcPr>
          <w:p w14:paraId="0F8CE9DA" w14:textId="77777777" w:rsidR="00EF2F4F" w:rsidRPr="00702808" w:rsidRDefault="00EF2F4F" w:rsidP="00EF2F4F">
            <w:pPr>
              <w:keepNext/>
              <w:spacing w:after="0" w:line="240" w:lineRule="auto"/>
            </w:pPr>
            <w:r w:rsidRPr="00702808">
              <w:t>2. Match contributed during current Federal fiscal year</w:t>
            </w:r>
          </w:p>
        </w:tc>
        <w:tc>
          <w:tcPr>
            <w:tcW w:w="2325" w:type="dxa"/>
          </w:tcPr>
          <w:p w14:paraId="2BF41C19" w14:textId="68BF0E68" w:rsidR="00EF2F4F" w:rsidRPr="00702808" w:rsidRDefault="00EF2F4F" w:rsidP="00EF2F4F">
            <w:pPr>
              <w:keepNext/>
              <w:widowControl w:val="0"/>
              <w:spacing w:after="0" w:line="240" w:lineRule="auto"/>
              <w:jc w:val="center"/>
              <w:rPr>
                <w:rFonts w:cs="Arial"/>
              </w:rPr>
            </w:pPr>
            <w:r w:rsidRPr="00702808">
              <w:rPr>
                <w:rFonts w:cs="Arial"/>
              </w:rPr>
              <w:t>0</w:t>
            </w:r>
          </w:p>
        </w:tc>
      </w:tr>
      <w:tr w:rsidR="00EF2F4F" w:rsidRPr="00702808" w14:paraId="0C57C46A" w14:textId="77777777" w:rsidTr="00EF2F4F">
        <w:trPr>
          <w:cantSplit/>
        </w:trPr>
        <w:tc>
          <w:tcPr>
            <w:tcW w:w="7025" w:type="dxa"/>
          </w:tcPr>
          <w:p w14:paraId="06204348" w14:textId="05C106FB" w:rsidR="00EF2F4F" w:rsidRPr="00702808" w:rsidRDefault="00EF2F4F" w:rsidP="00EF2F4F">
            <w:pPr>
              <w:keepNext/>
              <w:spacing w:after="0" w:line="240" w:lineRule="auto"/>
            </w:pPr>
            <w:r w:rsidRPr="00702808">
              <w:t>3.</w:t>
            </w:r>
            <w:r w:rsidR="009F0088" w:rsidRPr="00702808">
              <w:t xml:space="preserve"> </w:t>
            </w:r>
            <w:r w:rsidRPr="00702808">
              <w:t xml:space="preserve">Total match available for current Federal fiscal year (Line 1 plus Line 2) </w:t>
            </w:r>
          </w:p>
        </w:tc>
        <w:tc>
          <w:tcPr>
            <w:tcW w:w="2325" w:type="dxa"/>
          </w:tcPr>
          <w:p w14:paraId="1EC1D010" w14:textId="04988B9E" w:rsidR="00EF2F4F" w:rsidRPr="00702808" w:rsidRDefault="00EF2F4F" w:rsidP="00EF2F4F">
            <w:pPr>
              <w:keepNext/>
              <w:widowControl w:val="0"/>
              <w:spacing w:after="0" w:line="240" w:lineRule="auto"/>
              <w:jc w:val="center"/>
              <w:rPr>
                <w:rFonts w:cs="Arial"/>
              </w:rPr>
            </w:pPr>
            <w:r w:rsidRPr="00702808">
              <w:rPr>
                <w:rFonts w:cs="Arial"/>
              </w:rPr>
              <w:t>0</w:t>
            </w:r>
          </w:p>
        </w:tc>
      </w:tr>
      <w:tr w:rsidR="00EF2F4F" w:rsidRPr="00702808" w14:paraId="3A0CC373" w14:textId="77777777" w:rsidTr="00EF2F4F">
        <w:trPr>
          <w:cantSplit/>
        </w:trPr>
        <w:tc>
          <w:tcPr>
            <w:tcW w:w="7025" w:type="dxa"/>
          </w:tcPr>
          <w:p w14:paraId="1E16DEBE" w14:textId="77777777" w:rsidR="00EF2F4F" w:rsidRPr="00702808" w:rsidRDefault="00EF2F4F" w:rsidP="00EF2F4F">
            <w:pPr>
              <w:keepNext/>
              <w:spacing w:after="0" w:line="240" w:lineRule="auto"/>
            </w:pPr>
            <w:r w:rsidRPr="00702808">
              <w:t>4. Match liability for current Federal fiscal year</w:t>
            </w:r>
          </w:p>
        </w:tc>
        <w:tc>
          <w:tcPr>
            <w:tcW w:w="2325" w:type="dxa"/>
          </w:tcPr>
          <w:p w14:paraId="6E6BD665" w14:textId="6B30EC16" w:rsidR="00EF2F4F" w:rsidRPr="00702808" w:rsidRDefault="00EF2F4F" w:rsidP="00EF2F4F">
            <w:pPr>
              <w:keepNext/>
              <w:widowControl w:val="0"/>
              <w:spacing w:after="0" w:line="240" w:lineRule="auto"/>
              <w:jc w:val="center"/>
              <w:rPr>
                <w:rFonts w:cs="Arial"/>
              </w:rPr>
            </w:pPr>
            <w:r w:rsidRPr="00702808">
              <w:rPr>
                <w:rFonts w:cs="Arial"/>
              </w:rPr>
              <w:t>0</w:t>
            </w:r>
          </w:p>
        </w:tc>
      </w:tr>
      <w:tr w:rsidR="00EF2F4F" w:rsidRPr="00702808" w14:paraId="6D453C2A" w14:textId="77777777" w:rsidTr="00EF2F4F">
        <w:trPr>
          <w:cantSplit/>
        </w:trPr>
        <w:tc>
          <w:tcPr>
            <w:tcW w:w="7025" w:type="dxa"/>
          </w:tcPr>
          <w:p w14:paraId="16B2D5D7" w14:textId="77777777" w:rsidR="00EF2F4F" w:rsidRPr="00702808" w:rsidRDefault="00EF2F4F" w:rsidP="00EF2F4F">
            <w:pPr>
              <w:keepNext/>
              <w:spacing w:after="0" w:line="240" w:lineRule="auto"/>
            </w:pPr>
            <w:r w:rsidRPr="00702808">
              <w:t>5. Excess match carried over to next Federal fiscal year (Line 3 minus Line 4)</w:t>
            </w:r>
          </w:p>
        </w:tc>
        <w:tc>
          <w:tcPr>
            <w:tcW w:w="2325" w:type="dxa"/>
          </w:tcPr>
          <w:p w14:paraId="65C26262" w14:textId="4EDDF0F7" w:rsidR="00EF2F4F" w:rsidRPr="00702808" w:rsidRDefault="00EF2F4F" w:rsidP="00EF2F4F">
            <w:pPr>
              <w:keepNext/>
              <w:widowControl w:val="0"/>
              <w:spacing w:after="0" w:line="240" w:lineRule="auto"/>
              <w:jc w:val="center"/>
              <w:rPr>
                <w:rFonts w:cs="Arial"/>
              </w:rPr>
            </w:pPr>
            <w:r w:rsidRPr="00702808">
              <w:rPr>
                <w:rFonts w:cs="Arial"/>
              </w:rPr>
              <w:t>0</w:t>
            </w:r>
          </w:p>
        </w:tc>
      </w:tr>
    </w:tbl>
    <w:p w14:paraId="14220D0C" w14:textId="77777777" w:rsidR="00BE059B" w:rsidRPr="00702808" w:rsidRDefault="00FB5456">
      <w:pPr>
        <w:pStyle w:val="Caption"/>
        <w:jc w:val="center"/>
        <w:rPr>
          <w:rFonts w:asciiTheme="minorHAnsi" w:hAnsiTheme="minorHAnsi"/>
        </w:rPr>
      </w:pPr>
      <w:r w:rsidRPr="00702808">
        <w:rPr>
          <w:rFonts w:asciiTheme="minorHAnsi" w:hAnsiTheme="minorHAnsi"/>
        </w:rPr>
        <w:t xml:space="preserve">Table </w:t>
      </w:r>
      <w:r w:rsidRPr="00702808">
        <w:rPr>
          <w:rFonts w:asciiTheme="minorHAnsi" w:hAnsiTheme="minorHAnsi"/>
        </w:rPr>
        <w:fldChar w:fldCharType="begin"/>
      </w:r>
      <w:r w:rsidRPr="00702808">
        <w:rPr>
          <w:rFonts w:asciiTheme="minorHAnsi" w:hAnsiTheme="minorHAnsi"/>
        </w:rPr>
        <w:instrText xml:space="preserve"> SEQ Table \* ARABIC </w:instrText>
      </w:r>
      <w:r w:rsidRPr="00702808">
        <w:rPr>
          <w:rFonts w:asciiTheme="minorHAnsi" w:hAnsiTheme="minorHAnsi"/>
        </w:rPr>
        <w:fldChar w:fldCharType="separate"/>
      </w:r>
      <w:r w:rsidRPr="00702808">
        <w:rPr>
          <w:rFonts w:asciiTheme="minorHAnsi" w:hAnsiTheme="minorHAnsi"/>
        </w:rPr>
        <w:t>5</w:t>
      </w:r>
      <w:r w:rsidRPr="00702808">
        <w:rPr>
          <w:rFonts w:asciiTheme="minorHAnsi" w:hAnsiTheme="minorHAnsi"/>
        </w:rPr>
        <w:fldChar w:fldCharType="end"/>
      </w:r>
      <w:r w:rsidRPr="00702808">
        <w:rPr>
          <w:rFonts w:asciiTheme="minorHAnsi" w:hAnsiTheme="minorHAnsi"/>
        </w:rPr>
        <w:t xml:space="preserve"> – Fiscal Year Summary - HOME Match Report</w:t>
      </w:r>
    </w:p>
    <w:p w14:paraId="795B4D83" w14:textId="77777777" w:rsidR="00BE059B" w:rsidRPr="00767897" w:rsidRDefault="00BE059B">
      <w:pPr>
        <w:widowControl w:val="0"/>
        <w:spacing w:line="204" w:lineRule="auto"/>
        <w:rPr>
          <w:rFonts w:cs="Arial"/>
          <w:highlight w:val="yellow"/>
        </w:rPr>
      </w:pPr>
    </w:p>
    <w:p w14:paraId="3EB997B8" w14:textId="77777777" w:rsidR="00BE059B" w:rsidRPr="00767897" w:rsidRDefault="00BE059B">
      <w:pPr>
        <w:widowControl w:val="0"/>
        <w:spacing w:line="204" w:lineRule="auto"/>
        <w:rPr>
          <w:rFonts w:cs="Arial"/>
          <w:highlight w:val="yellow"/>
        </w:rPr>
      </w:pPr>
    </w:p>
    <w:p w14:paraId="70FE54DE" w14:textId="77777777" w:rsidR="00BE059B" w:rsidRPr="00767897" w:rsidRDefault="00BE059B">
      <w:pPr>
        <w:keepNext/>
        <w:spacing w:after="0" w:line="240" w:lineRule="auto"/>
        <w:rPr>
          <w:b/>
          <w:sz w:val="24"/>
          <w:szCs w:val="24"/>
          <w:highlight w:val="yellow"/>
        </w:rPr>
        <w:sectPr w:rsidR="00BE059B" w:rsidRPr="00767897" w:rsidSect="00A23BD2">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
        <w:gridCol w:w="1207"/>
        <w:gridCol w:w="953"/>
        <w:gridCol w:w="990"/>
        <w:gridCol w:w="990"/>
        <w:gridCol w:w="1350"/>
        <w:gridCol w:w="1260"/>
        <w:gridCol w:w="990"/>
        <w:gridCol w:w="740"/>
      </w:tblGrid>
      <w:tr w:rsidR="00BE059B" w:rsidRPr="00E1745E" w14:paraId="7F60D52E" w14:textId="77777777" w:rsidTr="00EF2F4F">
        <w:trPr>
          <w:cantSplit/>
          <w:tblHeader/>
        </w:trPr>
        <w:tc>
          <w:tcPr>
            <w:tcW w:w="9350" w:type="dxa"/>
            <w:gridSpan w:val="9"/>
          </w:tcPr>
          <w:p w14:paraId="680ABF7C" w14:textId="768AED5C" w:rsidR="00BE059B" w:rsidRPr="00E1745E" w:rsidRDefault="00FB5456" w:rsidP="00F85CD9">
            <w:pPr>
              <w:keepNext/>
              <w:widowControl w:val="0"/>
              <w:tabs>
                <w:tab w:val="left" w:pos="405"/>
                <w:tab w:val="center" w:pos="6480"/>
              </w:tabs>
              <w:spacing w:after="0" w:line="240" w:lineRule="auto"/>
              <w:jc w:val="center"/>
              <w:rPr>
                <w:b/>
              </w:rPr>
            </w:pPr>
            <w:r w:rsidRPr="00E1745E">
              <w:rPr>
                <w:b/>
              </w:rPr>
              <w:lastRenderedPageBreak/>
              <w:t>Match Contribution for the Federal Fiscal Year</w:t>
            </w:r>
          </w:p>
        </w:tc>
      </w:tr>
      <w:tr w:rsidR="00BE059B" w:rsidRPr="00E1745E" w14:paraId="18D7CEF7" w14:textId="77777777" w:rsidTr="004A5F3C">
        <w:trPr>
          <w:cantSplit/>
          <w:tblHeader/>
        </w:trPr>
        <w:tc>
          <w:tcPr>
            <w:tcW w:w="870" w:type="dxa"/>
          </w:tcPr>
          <w:p w14:paraId="40DF3D72" w14:textId="77777777" w:rsidR="00BE059B" w:rsidRPr="00E1745E" w:rsidRDefault="00FB5456">
            <w:pPr>
              <w:keepNext/>
              <w:widowControl w:val="0"/>
              <w:spacing w:after="0" w:line="240" w:lineRule="auto"/>
              <w:jc w:val="center"/>
              <w:rPr>
                <w:b/>
                <w:sz w:val="18"/>
                <w:szCs w:val="18"/>
              </w:rPr>
            </w:pPr>
            <w:r w:rsidRPr="00E1745E">
              <w:rPr>
                <w:b/>
                <w:sz w:val="18"/>
                <w:szCs w:val="18"/>
              </w:rPr>
              <w:t>Project No. or Other ID</w:t>
            </w:r>
          </w:p>
        </w:tc>
        <w:tc>
          <w:tcPr>
            <w:tcW w:w="1207" w:type="dxa"/>
          </w:tcPr>
          <w:p w14:paraId="4F452271" w14:textId="77777777" w:rsidR="00BE059B" w:rsidRPr="00E1745E" w:rsidRDefault="00FB5456">
            <w:pPr>
              <w:keepNext/>
              <w:widowControl w:val="0"/>
              <w:spacing w:after="0" w:line="240" w:lineRule="auto"/>
              <w:jc w:val="center"/>
              <w:rPr>
                <w:b/>
                <w:sz w:val="18"/>
                <w:szCs w:val="18"/>
              </w:rPr>
            </w:pPr>
            <w:r w:rsidRPr="00E1745E">
              <w:rPr>
                <w:b/>
                <w:sz w:val="18"/>
                <w:szCs w:val="18"/>
              </w:rPr>
              <w:t>Date of Contribution</w:t>
            </w:r>
          </w:p>
        </w:tc>
        <w:tc>
          <w:tcPr>
            <w:tcW w:w="953" w:type="dxa"/>
          </w:tcPr>
          <w:p w14:paraId="2A4735B3" w14:textId="77777777" w:rsidR="00BE059B" w:rsidRPr="00E1745E" w:rsidRDefault="00FB5456">
            <w:pPr>
              <w:keepNext/>
              <w:widowControl w:val="0"/>
              <w:spacing w:after="0" w:line="240" w:lineRule="auto"/>
              <w:jc w:val="center"/>
              <w:rPr>
                <w:b/>
                <w:sz w:val="18"/>
                <w:szCs w:val="18"/>
              </w:rPr>
            </w:pPr>
            <w:r w:rsidRPr="00E1745E">
              <w:rPr>
                <w:b/>
                <w:sz w:val="18"/>
                <w:szCs w:val="18"/>
              </w:rPr>
              <w:t>Cash</w:t>
            </w:r>
          </w:p>
          <w:p w14:paraId="08E3D60B" w14:textId="77777777" w:rsidR="00BE059B" w:rsidRPr="00E1745E" w:rsidRDefault="00FB5456">
            <w:pPr>
              <w:keepNext/>
              <w:widowControl w:val="0"/>
              <w:spacing w:after="0" w:line="240" w:lineRule="auto"/>
              <w:jc w:val="center"/>
              <w:rPr>
                <w:b/>
                <w:sz w:val="18"/>
                <w:szCs w:val="18"/>
              </w:rPr>
            </w:pPr>
            <w:r w:rsidRPr="00E1745E">
              <w:rPr>
                <w:b/>
                <w:sz w:val="18"/>
                <w:szCs w:val="18"/>
              </w:rPr>
              <w:t>(non-Federal sources)</w:t>
            </w:r>
          </w:p>
        </w:tc>
        <w:tc>
          <w:tcPr>
            <w:tcW w:w="990" w:type="dxa"/>
          </w:tcPr>
          <w:p w14:paraId="27971873" w14:textId="77777777" w:rsidR="00BE059B" w:rsidRPr="00E1745E" w:rsidRDefault="00FB5456">
            <w:pPr>
              <w:keepNext/>
              <w:widowControl w:val="0"/>
              <w:spacing w:after="0" w:line="240" w:lineRule="auto"/>
              <w:jc w:val="center"/>
              <w:rPr>
                <w:b/>
                <w:sz w:val="18"/>
                <w:szCs w:val="18"/>
              </w:rPr>
            </w:pPr>
            <w:r w:rsidRPr="00E1745E">
              <w:rPr>
                <w:b/>
                <w:sz w:val="18"/>
                <w:szCs w:val="18"/>
              </w:rPr>
              <w:t>Foregone Taxes, Fees, Charges</w:t>
            </w:r>
          </w:p>
        </w:tc>
        <w:tc>
          <w:tcPr>
            <w:tcW w:w="990" w:type="dxa"/>
          </w:tcPr>
          <w:p w14:paraId="6A91ACF2" w14:textId="02827A98" w:rsidR="00BE059B" w:rsidRPr="00E1745E" w:rsidRDefault="00FB5456">
            <w:pPr>
              <w:keepNext/>
              <w:widowControl w:val="0"/>
              <w:spacing w:after="0" w:line="240" w:lineRule="auto"/>
              <w:jc w:val="center"/>
              <w:rPr>
                <w:b/>
                <w:sz w:val="18"/>
                <w:szCs w:val="18"/>
              </w:rPr>
            </w:pPr>
            <w:r w:rsidRPr="00E1745E">
              <w:rPr>
                <w:b/>
                <w:sz w:val="18"/>
                <w:szCs w:val="18"/>
              </w:rPr>
              <w:t>Appraised Land/</w:t>
            </w:r>
            <w:r w:rsidR="004A5F3C" w:rsidRPr="00E1745E">
              <w:rPr>
                <w:b/>
                <w:sz w:val="18"/>
                <w:szCs w:val="18"/>
              </w:rPr>
              <w:t xml:space="preserve"> </w:t>
            </w:r>
            <w:r w:rsidRPr="00E1745E">
              <w:rPr>
                <w:b/>
                <w:sz w:val="18"/>
                <w:szCs w:val="18"/>
              </w:rPr>
              <w:t>Real Property</w:t>
            </w:r>
          </w:p>
        </w:tc>
        <w:tc>
          <w:tcPr>
            <w:tcW w:w="1350" w:type="dxa"/>
          </w:tcPr>
          <w:p w14:paraId="71A4B074" w14:textId="77777777" w:rsidR="00BE059B" w:rsidRPr="00E1745E" w:rsidRDefault="00FB5456">
            <w:pPr>
              <w:keepNext/>
              <w:widowControl w:val="0"/>
              <w:spacing w:after="0" w:line="240" w:lineRule="auto"/>
              <w:jc w:val="center"/>
              <w:rPr>
                <w:b/>
                <w:sz w:val="18"/>
                <w:szCs w:val="18"/>
              </w:rPr>
            </w:pPr>
            <w:r w:rsidRPr="00E1745E">
              <w:rPr>
                <w:b/>
                <w:sz w:val="18"/>
                <w:szCs w:val="18"/>
              </w:rPr>
              <w:t>Required Infrastructure</w:t>
            </w:r>
          </w:p>
        </w:tc>
        <w:tc>
          <w:tcPr>
            <w:tcW w:w="1260" w:type="dxa"/>
          </w:tcPr>
          <w:p w14:paraId="56124B99" w14:textId="77777777" w:rsidR="00BE059B" w:rsidRPr="00E1745E" w:rsidRDefault="00FB5456">
            <w:pPr>
              <w:keepNext/>
              <w:widowControl w:val="0"/>
              <w:spacing w:after="0" w:line="240" w:lineRule="auto"/>
              <w:jc w:val="center"/>
              <w:rPr>
                <w:b/>
                <w:sz w:val="18"/>
                <w:szCs w:val="18"/>
              </w:rPr>
            </w:pPr>
            <w:r w:rsidRPr="00E1745E">
              <w:rPr>
                <w:b/>
                <w:sz w:val="18"/>
                <w:szCs w:val="18"/>
              </w:rPr>
              <w:t>Site Preparation, Construction Materials, Donated labor</w:t>
            </w:r>
          </w:p>
        </w:tc>
        <w:tc>
          <w:tcPr>
            <w:tcW w:w="990" w:type="dxa"/>
          </w:tcPr>
          <w:p w14:paraId="16EB175C" w14:textId="77777777" w:rsidR="00BE059B" w:rsidRPr="00E1745E" w:rsidRDefault="00FB5456">
            <w:pPr>
              <w:keepNext/>
              <w:widowControl w:val="0"/>
              <w:spacing w:after="0" w:line="240" w:lineRule="auto"/>
              <w:jc w:val="center"/>
              <w:rPr>
                <w:b/>
                <w:sz w:val="18"/>
                <w:szCs w:val="18"/>
              </w:rPr>
            </w:pPr>
            <w:r w:rsidRPr="00E1745E">
              <w:rPr>
                <w:b/>
                <w:sz w:val="18"/>
                <w:szCs w:val="18"/>
              </w:rPr>
              <w:t>Bond Financing</w:t>
            </w:r>
          </w:p>
        </w:tc>
        <w:tc>
          <w:tcPr>
            <w:tcW w:w="740" w:type="dxa"/>
          </w:tcPr>
          <w:p w14:paraId="53EBD1AD" w14:textId="77777777" w:rsidR="00BE059B" w:rsidRPr="00E1745E" w:rsidRDefault="00FB5456">
            <w:pPr>
              <w:keepNext/>
              <w:widowControl w:val="0"/>
              <w:spacing w:after="0" w:line="240" w:lineRule="auto"/>
              <w:jc w:val="center"/>
              <w:rPr>
                <w:b/>
                <w:sz w:val="18"/>
                <w:szCs w:val="18"/>
              </w:rPr>
            </w:pPr>
            <w:r w:rsidRPr="00E1745E">
              <w:rPr>
                <w:b/>
                <w:sz w:val="18"/>
                <w:szCs w:val="18"/>
              </w:rPr>
              <w:t>Total Match</w:t>
            </w:r>
          </w:p>
        </w:tc>
      </w:tr>
      <w:tr w:rsidR="00EF2F4F" w:rsidRPr="00E1745E" w14:paraId="73FD1EC7" w14:textId="77777777" w:rsidTr="004A5F3C">
        <w:trPr>
          <w:cantSplit/>
        </w:trPr>
        <w:tc>
          <w:tcPr>
            <w:tcW w:w="870" w:type="dxa"/>
          </w:tcPr>
          <w:p w14:paraId="2A2B8989" w14:textId="6CF36A4E" w:rsidR="00EF2F4F" w:rsidRPr="00E1745E" w:rsidRDefault="00EF2F4F" w:rsidP="00EF2F4F">
            <w:pPr>
              <w:keepNext/>
              <w:widowControl w:val="0"/>
              <w:spacing w:after="0" w:line="240" w:lineRule="auto"/>
              <w:jc w:val="center"/>
              <w:rPr>
                <w:sz w:val="20"/>
                <w:szCs w:val="20"/>
              </w:rPr>
            </w:pPr>
            <w:r w:rsidRPr="00E1745E">
              <w:rPr>
                <w:rFonts w:cs="Arial"/>
              </w:rPr>
              <w:t>0</w:t>
            </w:r>
          </w:p>
        </w:tc>
        <w:tc>
          <w:tcPr>
            <w:tcW w:w="1207" w:type="dxa"/>
          </w:tcPr>
          <w:p w14:paraId="63482243" w14:textId="5142195D" w:rsidR="00EF2F4F" w:rsidRPr="00E1745E" w:rsidRDefault="00EF2F4F" w:rsidP="00EF2F4F">
            <w:pPr>
              <w:keepNext/>
              <w:widowControl w:val="0"/>
              <w:spacing w:after="0" w:line="240" w:lineRule="auto"/>
              <w:jc w:val="center"/>
              <w:rPr>
                <w:sz w:val="20"/>
                <w:szCs w:val="20"/>
              </w:rPr>
            </w:pPr>
            <w:r w:rsidRPr="00E1745E">
              <w:rPr>
                <w:rFonts w:cs="Arial"/>
              </w:rPr>
              <w:t>0</w:t>
            </w:r>
          </w:p>
        </w:tc>
        <w:tc>
          <w:tcPr>
            <w:tcW w:w="953" w:type="dxa"/>
          </w:tcPr>
          <w:p w14:paraId="615747D8" w14:textId="6FD3D555" w:rsidR="00EF2F4F" w:rsidRPr="00E1745E" w:rsidRDefault="00EF2F4F" w:rsidP="00EF2F4F">
            <w:pPr>
              <w:keepNext/>
              <w:widowControl w:val="0"/>
              <w:spacing w:after="0" w:line="240" w:lineRule="auto"/>
              <w:jc w:val="center"/>
              <w:rPr>
                <w:sz w:val="20"/>
                <w:szCs w:val="20"/>
              </w:rPr>
            </w:pPr>
            <w:r w:rsidRPr="00E1745E">
              <w:rPr>
                <w:rFonts w:cs="Arial"/>
              </w:rPr>
              <w:t>0</w:t>
            </w:r>
          </w:p>
        </w:tc>
        <w:tc>
          <w:tcPr>
            <w:tcW w:w="990" w:type="dxa"/>
          </w:tcPr>
          <w:p w14:paraId="6C6C0BB3" w14:textId="2CAC01D6" w:rsidR="00EF2F4F" w:rsidRPr="00E1745E" w:rsidRDefault="00EF2F4F" w:rsidP="00EF2F4F">
            <w:pPr>
              <w:keepNext/>
              <w:widowControl w:val="0"/>
              <w:spacing w:after="0" w:line="240" w:lineRule="auto"/>
              <w:jc w:val="center"/>
              <w:rPr>
                <w:sz w:val="20"/>
                <w:szCs w:val="20"/>
              </w:rPr>
            </w:pPr>
            <w:r w:rsidRPr="00E1745E">
              <w:rPr>
                <w:rFonts w:cs="Arial"/>
              </w:rPr>
              <w:t>0</w:t>
            </w:r>
          </w:p>
        </w:tc>
        <w:tc>
          <w:tcPr>
            <w:tcW w:w="990" w:type="dxa"/>
          </w:tcPr>
          <w:p w14:paraId="0809B0E4" w14:textId="5DCF2E34" w:rsidR="00EF2F4F" w:rsidRPr="00E1745E" w:rsidRDefault="00EF2F4F" w:rsidP="00EF2F4F">
            <w:pPr>
              <w:keepNext/>
              <w:widowControl w:val="0"/>
              <w:spacing w:after="0" w:line="240" w:lineRule="auto"/>
              <w:jc w:val="center"/>
              <w:rPr>
                <w:sz w:val="20"/>
                <w:szCs w:val="20"/>
              </w:rPr>
            </w:pPr>
            <w:r w:rsidRPr="00E1745E">
              <w:rPr>
                <w:rFonts w:cs="Arial"/>
              </w:rPr>
              <w:t>0</w:t>
            </w:r>
          </w:p>
        </w:tc>
        <w:tc>
          <w:tcPr>
            <w:tcW w:w="1350" w:type="dxa"/>
          </w:tcPr>
          <w:p w14:paraId="76D3CCCD" w14:textId="702C7B52" w:rsidR="00EF2F4F" w:rsidRPr="00E1745E" w:rsidRDefault="00EF2F4F" w:rsidP="00EF2F4F">
            <w:pPr>
              <w:keepNext/>
              <w:widowControl w:val="0"/>
              <w:spacing w:after="0" w:line="240" w:lineRule="auto"/>
              <w:jc w:val="center"/>
              <w:rPr>
                <w:sz w:val="20"/>
                <w:szCs w:val="20"/>
              </w:rPr>
            </w:pPr>
            <w:r w:rsidRPr="00E1745E">
              <w:rPr>
                <w:rFonts w:cs="Arial"/>
              </w:rPr>
              <w:t>0</w:t>
            </w:r>
          </w:p>
        </w:tc>
        <w:tc>
          <w:tcPr>
            <w:tcW w:w="1260" w:type="dxa"/>
          </w:tcPr>
          <w:p w14:paraId="3664DA98" w14:textId="7583F159" w:rsidR="00EF2F4F" w:rsidRPr="00E1745E" w:rsidRDefault="00EF2F4F" w:rsidP="00EF2F4F">
            <w:pPr>
              <w:keepNext/>
              <w:widowControl w:val="0"/>
              <w:spacing w:after="0" w:line="240" w:lineRule="auto"/>
              <w:jc w:val="center"/>
              <w:rPr>
                <w:sz w:val="20"/>
                <w:szCs w:val="20"/>
              </w:rPr>
            </w:pPr>
            <w:r w:rsidRPr="00E1745E">
              <w:rPr>
                <w:rFonts w:cs="Arial"/>
              </w:rPr>
              <w:t>0</w:t>
            </w:r>
          </w:p>
        </w:tc>
        <w:tc>
          <w:tcPr>
            <w:tcW w:w="990" w:type="dxa"/>
          </w:tcPr>
          <w:p w14:paraId="5622D874" w14:textId="61CEC736" w:rsidR="00EF2F4F" w:rsidRPr="00E1745E" w:rsidRDefault="00EF2F4F" w:rsidP="00EF2F4F">
            <w:pPr>
              <w:keepNext/>
              <w:widowControl w:val="0"/>
              <w:spacing w:after="0" w:line="240" w:lineRule="auto"/>
              <w:jc w:val="center"/>
              <w:rPr>
                <w:sz w:val="20"/>
                <w:szCs w:val="20"/>
              </w:rPr>
            </w:pPr>
            <w:r w:rsidRPr="00E1745E">
              <w:rPr>
                <w:rFonts w:cs="Arial"/>
              </w:rPr>
              <w:t>0</w:t>
            </w:r>
          </w:p>
        </w:tc>
        <w:tc>
          <w:tcPr>
            <w:tcW w:w="740" w:type="dxa"/>
          </w:tcPr>
          <w:p w14:paraId="11D6AED0" w14:textId="54BD4167" w:rsidR="00EF2F4F" w:rsidRPr="00E1745E" w:rsidRDefault="00EF2F4F" w:rsidP="00EF2F4F">
            <w:pPr>
              <w:keepNext/>
              <w:widowControl w:val="0"/>
              <w:spacing w:after="0" w:line="240" w:lineRule="auto"/>
              <w:jc w:val="center"/>
              <w:rPr>
                <w:sz w:val="20"/>
                <w:szCs w:val="20"/>
              </w:rPr>
            </w:pPr>
            <w:r w:rsidRPr="00E1745E">
              <w:rPr>
                <w:rFonts w:cs="Arial"/>
              </w:rPr>
              <w:t>0</w:t>
            </w:r>
          </w:p>
        </w:tc>
      </w:tr>
    </w:tbl>
    <w:p w14:paraId="5092A17E" w14:textId="77777777" w:rsidR="00BE059B" w:rsidRPr="00E1745E" w:rsidRDefault="00FB5456">
      <w:pPr>
        <w:pStyle w:val="Caption"/>
        <w:jc w:val="center"/>
        <w:rPr>
          <w:rFonts w:asciiTheme="minorHAnsi" w:hAnsiTheme="minorHAnsi"/>
        </w:rPr>
      </w:pPr>
      <w:r w:rsidRPr="00E1745E">
        <w:rPr>
          <w:rFonts w:asciiTheme="minorHAnsi" w:hAnsiTheme="minorHAnsi"/>
        </w:rPr>
        <w:t xml:space="preserve">Table </w:t>
      </w:r>
      <w:r w:rsidRPr="00E1745E">
        <w:rPr>
          <w:rFonts w:asciiTheme="minorHAnsi" w:hAnsiTheme="minorHAnsi"/>
        </w:rPr>
        <w:fldChar w:fldCharType="begin"/>
      </w:r>
      <w:r w:rsidRPr="00E1745E">
        <w:rPr>
          <w:rFonts w:asciiTheme="minorHAnsi" w:hAnsiTheme="minorHAnsi"/>
        </w:rPr>
        <w:instrText xml:space="preserve"> SEQ Table \* ARABIC </w:instrText>
      </w:r>
      <w:r w:rsidRPr="00E1745E">
        <w:rPr>
          <w:rFonts w:asciiTheme="minorHAnsi" w:hAnsiTheme="minorHAnsi"/>
        </w:rPr>
        <w:fldChar w:fldCharType="separate"/>
      </w:r>
      <w:r w:rsidRPr="00E1745E">
        <w:rPr>
          <w:rFonts w:asciiTheme="minorHAnsi" w:hAnsiTheme="minorHAnsi"/>
        </w:rPr>
        <w:t>6</w:t>
      </w:r>
      <w:r w:rsidRPr="00E1745E">
        <w:rPr>
          <w:rFonts w:asciiTheme="minorHAnsi" w:hAnsiTheme="minorHAnsi"/>
        </w:rPr>
        <w:fldChar w:fldCharType="end"/>
      </w:r>
      <w:r w:rsidRPr="00E1745E">
        <w:rPr>
          <w:rFonts w:asciiTheme="minorHAnsi" w:hAnsiTheme="minorHAnsi"/>
        </w:rPr>
        <w:t xml:space="preserve"> – Match Contribution for the Federal Fiscal Year</w:t>
      </w:r>
    </w:p>
    <w:p w14:paraId="244A3983" w14:textId="77777777" w:rsidR="00BE059B" w:rsidRPr="00E1745E" w:rsidRDefault="00BE059B"/>
    <w:p w14:paraId="4E8D2F28" w14:textId="77777777" w:rsidR="00BE059B" w:rsidRPr="00E1745E" w:rsidRDefault="00FB5456">
      <w:pPr>
        <w:widowControl w:val="0"/>
        <w:spacing w:line="204" w:lineRule="auto"/>
        <w:rPr>
          <w:b/>
          <w:sz w:val="24"/>
          <w:szCs w:val="24"/>
        </w:rPr>
      </w:pPr>
      <w:r w:rsidRPr="00E1745E">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69"/>
        <w:gridCol w:w="1870"/>
        <w:gridCol w:w="1870"/>
        <w:gridCol w:w="1870"/>
        <w:gridCol w:w="1871"/>
      </w:tblGrid>
      <w:tr w:rsidR="00BE059B" w:rsidRPr="00E1745E" w14:paraId="34D5C11A" w14:textId="77777777" w:rsidTr="00EF2F4F">
        <w:trPr>
          <w:cantSplit/>
          <w:tblHeader/>
        </w:trPr>
        <w:tc>
          <w:tcPr>
            <w:tcW w:w="9350" w:type="dxa"/>
            <w:gridSpan w:val="5"/>
          </w:tcPr>
          <w:p w14:paraId="1956DFD6" w14:textId="77777777" w:rsidR="00BE059B" w:rsidRPr="00E1745E" w:rsidRDefault="00FB5456">
            <w:pPr>
              <w:keepNext/>
              <w:widowControl w:val="0"/>
              <w:spacing w:after="0" w:line="240" w:lineRule="auto"/>
              <w:rPr>
                <w:b/>
              </w:rPr>
            </w:pPr>
            <w:r w:rsidRPr="00E1745E">
              <w:rPr>
                <w:b/>
              </w:rPr>
              <w:t xml:space="preserve">Program Income </w:t>
            </w:r>
            <w:r w:rsidRPr="00E1745E">
              <w:t>– Enter the program amounts for the reporting period</w:t>
            </w:r>
          </w:p>
        </w:tc>
      </w:tr>
      <w:tr w:rsidR="00BE059B" w:rsidRPr="00E1745E" w14:paraId="37BCCE82" w14:textId="77777777" w:rsidTr="00EF2F4F">
        <w:trPr>
          <w:cantSplit/>
          <w:tblHeader/>
        </w:trPr>
        <w:tc>
          <w:tcPr>
            <w:tcW w:w="1869" w:type="dxa"/>
          </w:tcPr>
          <w:p w14:paraId="075DCA4E" w14:textId="25364223" w:rsidR="00BE059B" w:rsidRPr="00E1745E" w:rsidRDefault="00FB5456">
            <w:pPr>
              <w:keepNext/>
              <w:spacing w:after="0" w:line="240" w:lineRule="auto"/>
              <w:jc w:val="center"/>
              <w:rPr>
                <w:b/>
              </w:rPr>
            </w:pPr>
            <w:r w:rsidRPr="00E1745E">
              <w:rPr>
                <w:b/>
              </w:rPr>
              <w:t>Balance on hand at beginning of reporting period</w:t>
            </w:r>
          </w:p>
          <w:p w14:paraId="3426CD3B" w14:textId="77777777" w:rsidR="00BE059B" w:rsidRPr="00E1745E" w:rsidRDefault="00FB5456">
            <w:pPr>
              <w:keepNext/>
              <w:spacing w:after="0" w:line="240" w:lineRule="auto"/>
              <w:jc w:val="center"/>
              <w:rPr>
                <w:b/>
              </w:rPr>
            </w:pPr>
            <w:r w:rsidRPr="00E1745E">
              <w:rPr>
                <w:b/>
              </w:rPr>
              <w:t>$</w:t>
            </w:r>
          </w:p>
        </w:tc>
        <w:tc>
          <w:tcPr>
            <w:tcW w:w="1870" w:type="dxa"/>
          </w:tcPr>
          <w:p w14:paraId="4F9C216E" w14:textId="77777777" w:rsidR="00BE059B" w:rsidRPr="00E1745E" w:rsidRDefault="00FB5456">
            <w:pPr>
              <w:keepNext/>
              <w:spacing w:after="0" w:line="240" w:lineRule="auto"/>
              <w:jc w:val="center"/>
              <w:rPr>
                <w:b/>
              </w:rPr>
            </w:pPr>
            <w:r w:rsidRPr="00E1745E">
              <w:rPr>
                <w:b/>
              </w:rPr>
              <w:t>Amount received during reporting period</w:t>
            </w:r>
          </w:p>
          <w:p w14:paraId="33BB605D" w14:textId="77777777" w:rsidR="00BE059B" w:rsidRPr="00E1745E" w:rsidRDefault="00FB5456">
            <w:pPr>
              <w:keepNext/>
              <w:spacing w:after="0" w:line="240" w:lineRule="auto"/>
              <w:jc w:val="center"/>
              <w:rPr>
                <w:b/>
              </w:rPr>
            </w:pPr>
            <w:r w:rsidRPr="00E1745E">
              <w:rPr>
                <w:b/>
              </w:rPr>
              <w:t>$</w:t>
            </w:r>
          </w:p>
        </w:tc>
        <w:tc>
          <w:tcPr>
            <w:tcW w:w="1870" w:type="dxa"/>
          </w:tcPr>
          <w:p w14:paraId="366C9CBD" w14:textId="77777777" w:rsidR="00BE059B" w:rsidRPr="00E1745E" w:rsidRDefault="00FB5456">
            <w:pPr>
              <w:keepNext/>
              <w:spacing w:after="0" w:line="240" w:lineRule="auto"/>
              <w:jc w:val="center"/>
              <w:rPr>
                <w:b/>
              </w:rPr>
            </w:pPr>
            <w:r w:rsidRPr="00E1745E">
              <w:rPr>
                <w:b/>
              </w:rPr>
              <w:t>Total amount expended during reporting period</w:t>
            </w:r>
          </w:p>
          <w:p w14:paraId="7FC5C70A" w14:textId="77777777" w:rsidR="00BE059B" w:rsidRPr="00E1745E" w:rsidRDefault="00FB5456">
            <w:pPr>
              <w:keepNext/>
              <w:spacing w:after="0" w:line="240" w:lineRule="auto"/>
              <w:jc w:val="center"/>
              <w:rPr>
                <w:b/>
              </w:rPr>
            </w:pPr>
            <w:r w:rsidRPr="00E1745E">
              <w:rPr>
                <w:b/>
              </w:rPr>
              <w:t>$</w:t>
            </w:r>
          </w:p>
        </w:tc>
        <w:tc>
          <w:tcPr>
            <w:tcW w:w="1870" w:type="dxa"/>
          </w:tcPr>
          <w:p w14:paraId="6171B64E" w14:textId="77777777" w:rsidR="00BE059B" w:rsidRPr="00E1745E" w:rsidRDefault="00FB5456">
            <w:pPr>
              <w:keepNext/>
              <w:spacing w:after="0" w:line="240" w:lineRule="auto"/>
              <w:jc w:val="center"/>
              <w:rPr>
                <w:b/>
              </w:rPr>
            </w:pPr>
            <w:r w:rsidRPr="00E1745E">
              <w:rPr>
                <w:b/>
              </w:rPr>
              <w:t>Amount expended for TBRA</w:t>
            </w:r>
          </w:p>
          <w:p w14:paraId="626BA8EC" w14:textId="77777777" w:rsidR="00BE059B" w:rsidRPr="00E1745E" w:rsidRDefault="00FB5456">
            <w:pPr>
              <w:keepNext/>
              <w:spacing w:after="0" w:line="240" w:lineRule="auto"/>
              <w:jc w:val="center"/>
              <w:rPr>
                <w:b/>
              </w:rPr>
            </w:pPr>
            <w:r w:rsidRPr="00E1745E">
              <w:rPr>
                <w:b/>
              </w:rPr>
              <w:t>$</w:t>
            </w:r>
          </w:p>
        </w:tc>
        <w:tc>
          <w:tcPr>
            <w:tcW w:w="1871" w:type="dxa"/>
          </w:tcPr>
          <w:p w14:paraId="573C56BA" w14:textId="77777777" w:rsidR="00BE059B" w:rsidRPr="00E1745E" w:rsidRDefault="00FB5456">
            <w:pPr>
              <w:keepNext/>
              <w:spacing w:after="0" w:line="240" w:lineRule="auto"/>
              <w:jc w:val="center"/>
              <w:rPr>
                <w:b/>
              </w:rPr>
            </w:pPr>
            <w:r w:rsidRPr="00E1745E">
              <w:rPr>
                <w:b/>
              </w:rPr>
              <w:t>Balance on hand at end of reporting period</w:t>
            </w:r>
          </w:p>
          <w:p w14:paraId="40D7F41D" w14:textId="77777777" w:rsidR="00BE059B" w:rsidRPr="00E1745E" w:rsidRDefault="00FB5456">
            <w:pPr>
              <w:keepNext/>
              <w:spacing w:after="0" w:line="240" w:lineRule="auto"/>
              <w:jc w:val="center"/>
              <w:rPr>
                <w:b/>
              </w:rPr>
            </w:pPr>
            <w:r w:rsidRPr="00E1745E">
              <w:rPr>
                <w:b/>
              </w:rPr>
              <w:t>$</w:t>
            </w:r>
          </w:p>
        </w:tc>
      </w:tr>
      <w:tr w:rsidR="00EF2F4F" w:rsidRPr="00E1745E" w14:paraId="6FCF2766" w14:textId="77777777" w:rsidTr="00EF2F4F">
        <w:trPr>
          <w:cantSplit/>
        </w:trPr>
        <w:tc>
          <w:tcPr>
            <w:tcW w:w="1869" w:type="dxa"/>
          </w:tcPr>
          <w:p w14:paraId="614B2020" w14:textId="027D067F" w:rsidR="00EF2F4F" w:rsidRPr="00E1745E" w:rsidRDefault="00EF2F4F" w:rsidP="00EF2F4F">
            <w:pPr>
              <w:keepNext/>
              <w:widowControl w:val="0"/>
              <w:spacing w:after="0" w:line="240" w:lineRule="auto"/>
              <w:jc w:val="center"/>
              <w:rPr>
                <w:b/>
              </w:rPr>
            </w:pPr>
            <w:r w:rsidRPr="00E1745E">
              <w:rPr>
                <w:rFonts w:cs="Arial"/>
              </w:rPr>
              <w:t>0</w:t>
            </w:r>
          </w:p>
        </w:tc>
        <w:tc>
          <w:tcPr>
            <w:tcW w:w="1870" w:type="dxa"/>
          </w:tcPr>
          <w:p w14:paraId="1A1C4FBB" w14:textId="116EDE87" w:rsidR="00EF2F4F" w:rsidRPr="00E1745E" w:rsidRDefault="00EF2F4F" w:rsidP="00EF2F4F">
            <w:pPr>
              <w:keepNext/>
              <w:widowControl w:val="0"/>
              <w:spacing w:after="0" w:line="240" w:lineRule="auto"/>
              <w:jc w:val="center"/>
              <w:rPr>
                <w:b/>
              </w:rPr>
            </w:pPr>
            <w:r w:rsidRPr="00E1745E">
              <w:rPr>
                <w:rFonts w:cs="Arial"/>
              </w:rPr>
              <w:t>0</w:t>
            </w:r>
          </w:p>
        </w:tc>
        <w:tc>
          <w:tcPr>
            <w:tcW w:w="1870" w:type="dxa"/>
          </w:tcPr>
          <w:p w14:paraId="4B2B862F" w14:textId="655B90D9" w:rsidR="00EF2F4F" w:rsidRPr="00E1745E" w:rsidRDefault="00EF2F4F" w:rsidP="00EF2F4F">
            <w:pPr>
              <w:keepNext/>
              <w:widowControl w:val="0"/>
              <w:spacing w:after="0" w:line="240" w:lineRule="auto"/>
              <w:jc w:val="center"/>
              <w:rPr>
                <w:b/>
              </w:rPr>
            </w:pPr>
            <w:r w:rsidRPr="00E1745E">
              <w:rPr>
                <w:rFonts w:cs="Arial"/>
              </w:rPr>
              <w:t>0</w:t>
            </w:r>
          </w:p>
        </w:tc>
        <w:tc>
          <w:tcPr>
            <w:tcW w:w="1870" w:type="dxa"/>
          </w:tcPr>
          <w:p w14:paraId="5FC79D54" w14:textId="04D0C155" w:rsidR="00EF2F4F" w:rsidRPr="00E1745E" w:rsidRDefault="00EF2F4F" w:rsidP="00EF2F4F">
            <w:pPr>
              <w:keepNext/>
              <w:widowControl w:val="0"/>
              <w:spacing w:after="0" w:line="240" w:lineRule="auto"/>
              <w:jc w:val="center"/>
              <w:rPr>
                <w:b/>
              </w:rPr>
            </w:pPr>
            <w:r w:rsidRPr="00E1745E">
              <w:rPr>
                <w:rFonts w:cs="Arial"/>
              </w:rPr>
              <w:t>0</w:t>
            </w:r>
          </w:p>
        </w:tc>
        <w:tc>
          <w:tcPr>
            <w:tcW w:w="1871" w:type="dxa"/>
          </w:tcPr>
          <w:p w14:paraId="07EB7AB5" w14:textId="57958DF4" w:rsidR="00EF2F4F" w:rsidRPr="00E1745E" w:rsidRDefault="00EF2F4F" w:rsidP="00EF2F4F">
            <w:pPr>
              <w:keepNext/>
              <w:widowControl w:val="0"/>
              <w:spacing w:after="0" w:line="240" w:lineRule="auto"/>
              <w:jc w:val="center"/>
              <w:rPr>
                <w:b/>
              </w:rPr>
            </w:pPr>
            <w:r w:rsidRPr="00E1745E">
              <w:rPr>
                <w:rFonts w:cs="Arial"/>
              </w:rPr>
              <w:t>0</w:t>
            </w:r>
          </w:p>
        </w:tc>
      </w:tr>
    </w:tbl>
    <w:p w14:paraId="7927765A" w14:textId="77777777" w:rsidR="00BE059B" w:rsidRPr="00E1745E" w:rsidRDefault="00FB5456">
      <w:pPr>
        <w:pStyle w:val="Caption"/>
        <w:jc w:val="center"/>
        <w:rPr>
          <w:rFonts w:asciiTheme="minorHAnsi" w:hAnsiTheme="minorHAnsi"/>
        </w:rPr>
      </w:pPr>
      <w:r w:rsidRPr="00E1745E">
        <w:rPr>
          <w:rFonts w:asciiTheme="minorHAnsi" w:hAnsiTheme="minorHAnsi"/>
        </w:rPr>
        <w:t xml:space="preserve">Table </w:t>
      </w:r>
      <w:r w:rsidRPr="00E1745E">
        <w:rPr>
          <w:rFonts w:asciiTheme="minorHAnsi" w:hAnsiTheme="minorHAnsi"/>
        </w:rPr>
        <w:fldChar w:fldCharType="begin"/>
      </w:r>
      <w:r w:rsidRPr="00E1745E">
        <w:rPr>
          <w:rFonts w:asciiTheme="minorHAnsi" w:hAnsiTheme="minorHAnsi"/>
        </w:rPr>
        <w:instrText xml:space="preserve"> SEQ Table \* ARABIC </w:instrText>
      </w:r>
      <w:r w:rsidRPr="00E1745E">
        <w:rPr>
          <w:rFonts w:asciiTheme="minorHAnsi" w:hAnsiTheme="minorHAnsi"/>
        </w:rPr>
        <w:fldChar w:fldCharType="separate"/>
      </w:r>
      <w:r w:rsidRPr="00E1745E">
        <w:rPr>
          <w:rFonts w:asciiTheme="minorHAnsi" w:hAnsiTheme="minorHAnsi"/>
        </w:rPr>
        <w:t>7</w:t>
      </w:r>
      <w:r w:rsidRPr="00E1745E">
        <w:rPr>
          <w:rFonts w:asciiTheme="minorHAnsi" w:hAnsiTheme="minorHAnsi"/>
        </w:rPr>
        <w:fldChar w:fldCharType="end"/>
      </w:r>
      <w:r w:rsidRPr="00E1745E">
        <w:rPr>
          <w:rFonts w:asciiTheme="minorHAnsi" w:hAnsiTheme="minorHAnsi"/>
        </w:rPr>
        <w:t xml:space="preserve"> – Program Income</w:t>
      </w:r>
    </w:p>
    <w:p w14:paraId="79F45619" w14:textId="77777777" w:rsidR="00BE059B" w:rsidRPr="00E1745E" w:rsidRDefault="00BE059B">
      <w:pPr>
        <w:widowControl w:val="0"/>
        <w:spacing w:after="0" w:line="240" w:lineRule="auto"/>
        <w:rPr>
          <w:b/>
          <w:sz w:val="20"/>
          <w:szCs w:val="20"/>
        </w:rPr>
      </w:pPr>
    </w:p>
    <w:p w14:paraId="2D980394" w14:textId="77777777" w:rsidR="00BE059B" w:rsidRPr="00FF2978" w:rsidRDefault="00BE059B">
      <w:pPr>
        <w:widowControl w:val="0"/>
        <w:spacing w:after="0" w:line="240" w:lineRule="auto"/>
        <w:jc w:val="center"/>
        <w:rPr>
          <w:b/>
          <w:sz w:val="20"/>
          <w:szCs w:val="20"/>
        </w:rPr>
        <w:sectPr w:rsidR="00BE059B" w:rsidRPr="00FF2978" w:rsidSect="00A23BD2">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E059B" w:rsidRPr="00FF2978" w14:paraId="6DBDEEE0" w14:textId="77777777">
        <w:tc>
          <w:tcPr>
            <w:tcW w:w="9576" w:type="dxa"/>
          </w:tcPr>
          <w:p w14:paraId="3BCE2067" w14:textId="77777777" w:rsidR="00BE059B" w:rsidRPr="00FF2978" w:rsidRDefault="00FB5456">
            <w:pPr>
              <w:keepNext/>
              <w:widowControl w:val="0"/>
              <w:spacing w:after="0" w:line="240" w:lineRule="auto"/>
              <w:rPr>
                <w:b/>
              </w:rPr>
            </w:pPr>
            <w:r w:rsidRPr="00FF2978">
              <w:rPr>
                <w:b/>
              </w:rPr>
              <w:lastRenderedPageBreak/>
              <w:t xml:space="preserve">Minority Business Enterprises and Women Business Enterprises – </w:t>
            </w:r>
            <w:r w:rsidRPr="00FF2978">
              <w:t>Indicate the number and dollar value of contracts for HOME projects completed during the reporting period</w:t>
            </w:r>
          </w:p>
        </w:tc>
      </w:tr>
    </w:tbl>
    <w:p w14:paraId="2A81F0F3" w14:textId="77777777" w:rsidR="00BE059B" w:rsidRPr="00FF2978" w:rsidRDefault="00BE059B">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059B" w:rsidRPr="00FF2978" w14:paraId="0DE392CC" w14:textId="77777777">
        <w:trPr>
          <w:cantSplit/>
        </w:trPr>
        <w:tc>
          <w:tcPr>
            <w:tcW w:w="1368" w:type="dxa"/>
            <w:vMerge w:val="restart"/>
          </w:tcPr>
          <w:p w14:paraId="56057191" w14:textId="77777777" w:rsidR="00BE059B" w:rsidRPr="00FF2978" w:rsidRDefault="00BE059B">
            <w:pPr>
              <w:keepNext/>
              <w:widowControl w:val="0"/>
              <w:spacing w:after="0" w:line="240" w:lineRule="auto"/>
              <w:rPr>
                <w:b/>
              </w:rPr>
            </w:pPr>
          </w:p>
        </w:tc>
        <w:tc>
          <w:tcPr>
            <w:tcW w:w="1368" w:type="dxa"/>
            <w:vMerge w:val="restart"/>
          </w:tcPr>
          <w:p w14:paraId="29E2B8F8" w14:textId="77777777" w:rsidR="00BE059B" w:rsidRPr="00FF2978" w:rsidRDefault="00FB5456">
            <w:pPr>
              <w:keepNext/>
              <w:widowControl w:val="0"/>
              <w:spacing w:after="0" w:line="240" w:lineRule="auto"/>
              <w:jc w:val="center"/>
              <w:rPr>
                <w:b/>
              </w:rPr>
            </w:pPr>
            <w:r w:rsidRPr="00FF2978">
              <w:rPr>
                <w:b/>
              </w:rPr>
              <w:t>Total</w:t>
            </w:r>
          </w:p>
        </w:tc>
        <w:tc>
          <w:tcPr>
            <w:tcW w:w="5472" w:type="dxa"/>
            <w:gridSpan w:val="4"/>
          </w:tcPr>
          <w:p w14:paraId="79DECE25" w14:textId="77777777" w:rsidR="00BE059B" w:rsidRPr="00FF2978" w:rsidRDefault="00FB5456">
            <w:pPr>
              <w:keepNext/>
              <w:widowControl w:val="0"/>
              <w:spacing w:after="0" w:line="240" w:lineRule="auto"/>
              <w:jc w:val="center"/>
              <w:rPr>
                <w:b/>
              </w:rPr>
            </w:pPr>
            <w:r w:rsidRPr="00FF2978">
              <w:rPr>
                <w:b/>
              </w:rPr>
              <w:t>Minority Business Enterprises</w:t>
            </w:r>
          </w:p>
        </w:tc>
        <w:tc>
          <w:tcPr>
            <w:tcW w:w="1368" w:type="dxa"/>
            <w:vMerge w:val="restart"/>
          </w:tcPr>
          <w:p w14:paraId="7397494A" w14:textId="77777777" w:rsidR="00BE059B" w:rsidRPr="00FF2978" w:rsidRDefault="00FB5456">
            <w:pPr>
              <w:keepNext/>
              <w:widowControl w:val="0"/>
              <w:spacing w:after="0" w:line="240" w:lineRule="auto"/>
              <w:jc w:val="center"/>
              <w:rPr>
                <w:b/>
              </w:rPr>
            </w:pPr>
            <w:r w:rsidRPr="00FF2978">
              <w:rPr>
                <w:b/>
              </w:rPr>
              <w:t>White Non-Hispanic</w:t>
            </w:r>
          </w:p>
        </w:tc>
      </w:tr>
      <w:tr w:rsidR="00BE059B" w:rsidRPr="00FF2978" w14:paraId="27446C5D" w14:textId="77777777">
        <w:trPr>
          <w:cantSplit/>
        </w:trPr>
        <w:tc>
          <w:tcPr>
            <w:tcW w:w="1368" w:type="dxa"/>
            <w:vMerge/>
          </w:tcPr>
          <w:p w14:paraId="6E8359C6" w14:textId="77777777" w:rsidR="00BE059B" w:rsidRPr="00FF2978" w:rsidRDefault="00BE059B">
            <w:pPr>
              <w:keepNext/>
              <w:widowControl w:val="0"/>
              <w:spacing w:after="0" w:line="240" w:lineRule="auto"/>
              <w:rPr>
                <w:b/>
              </w:rPr>
            </w:pPr>
          </w:p>
        </w:tc>
        <w:tc>
          <w:tcPr>
            <w:tcW w:w="1368" w:type="dxa"/>
            <w:vMerge/>
          </w:tcPr>
          <w:p w14:paraId="4017ED93" w14:textId="77777777" w:rsidR="00BE059B" w:rsidRPr="00FF2978" w:rsidRDefault="00BE059B">
            <w:pPr>
              <w:keepNext/>
              <w:widowControl w:val="0"/>
              <w:spacing w:after="0" w:line="240" w:lineRule="auto"/>
              <w:rPr>
                <w:b/>
              </w:rPr>
            </w:pPr>
          </w:p>
        </w:tc>
        <w:tc>
          <w:tcPr>
            <w:tcW w:w="1368" w:type="dxa"/>
          </w:tcPr>
          <w:p w14:paraId="710208ED" w14:textId="77777777" w:rsidR="00BE059B" w:rsidRPr="00FF2978" w:rsidRDefault="00FB5456">
            <w:pPr>
              <w:keepNext/>
              <w:spacing w:after="0" w:line="240" w:lineRule="auto"/>
              <w:jc w:val="center"/>
              <w:rPr>
                <w:b/>
              </w:rPr>
            </w:pPr>
            <w:r w:rsidRPr="00FF2978">
              <w:rPr>
                <w:b/>
              </w:rPr>
              <w:t>Alaskan Native or American Indian</w:t>
            </w:r>
          </w:p>
        </w:tc>
        <w:tc>
          <w:tcPr>
            <w:tcW w:w="1368" w:type="dxa"/>
          </w:tcPr>
          <w:p w14:paraId="761D54D8" w14:textId="77777777" w:rsidR="00BE059B" w:rsidRPr="00FF2978" w:rsidRDefault="00FB5456">
            <w:pPr>
              <w:keepNext/>
              <w:widowControl w:val="0"/>
              <w:spacing w:after="0" w:line="240" w:lineRule="auto"/>
              <w:jc w:val="center"/>
              <w:rPr>
                <w:b/>
              </w:rPr>
            </w:pPr>
            <w:r w:rsidRPr="00FF2978">
              <w:rPr>
                <w:b/>
              </w:rPr>
              <w:t>Asian or Pacific Islander</w:t>
            </w:r>
          </w:p>
        </w:tc>
        <w:tc>
          <w:tcPr>
            <w:tcW w:w="1368" w:type="dxa"/>
          </w:tcPr>
          <w:p w14:paraId="5E4CE046" w14:textId="77777777" w:rsidR="00BE059B" w:rsidRPr="00FF2978" w:rsidRDefault="00FB5456">
            <w:pPr>
              <w:keepNext/>
              <w:widowControl w:val="0"/>
              <w:spacing w:after="0" w:line="240" w:lineRule="auto"/>
              <w:jc w:val="center"/>
              <w:rPr>
                <w:b/>
              </w:rPr>
            </w:pPr>
            <w:r w:rsidRPr="00FF2978">
              <w:rPr>
                <w:b/>
              </w:rPr>
              <w:t>Black Non-Hispanic</w:t>
            </w:r>
          </w:p>
        </w:tc>
        <w:tc>
          <w:tcPr>
            <w:tcW w:w="1368" w:type="dxa"/>
          </w:tcPr>
          <w:p w14:paraId="4644B65F" w14:textId="77777777" w:rsidR="00BE059B" w:rsidRPr="00FF2978" w:rsidRDefault="00FB5456">
            <w:pPr>
              <w:keepNext/>
              <w:widowControl w:val="0"/>
              <w:spacing w:after="0" w:line="240" w:lineRule="auto"/>
              <w:jc w:val="center"/>
              <w:rPr>
                <w:b/>
              </w:rPr>
            </w:pPr>
            <w:r w:rsidRPr="00FF2978">
              <w:rPr>
                <w:b/>
              </w:rPr>
              <w:t>Hispanic</w:t>
            </w:r>
          </w:p>
        </w:tc>
        <w:tc>
          <w:tcPr>
            <w:tcW w:w="1368" w:type="dxa"/>
            <w:vMerge/>
          </w:tcPr>
          <w:p w14:paraId="5515254A" w14:textId="77777777" w:rsidR="00BE059B" w:rsidRPr="00FF2978" w:rsidRDefault="00BE059B">
            <w:pPr>
              <w:keepNext/>
              <w:widowControl w:val="0"/>
              <w:spacing w:after="0" w:line="240" w:lineRule="auto"/>
              <w:jc w:val="center"/>
              <w:rPr>
                <w:b/>
              </w:rPr>
            </w:pPr>
          </w:p>
        </w:tc>
      </w:tr>
    </w:tbl>
    <w:p w14:paraId="06FDF585" w14:textId="77777777" w:rsidR="00BE059B" w:rsidRPr="00FF2978" w:rsidRDefault="00BE059B">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059B" w:rsidRPr="00FF2978" w14:paraId="12AB2902" w14:textId="77777777" w:rsidTr="00EF2F4F">
        <w:trPr>
          <w:cantSplit/>
        </w:trPr>
        <w:tc>
          <w:tcPr>
            <w:tcW w:w="9350" w:type="dxa"/>
            <w:gridSpan w:val="7"/>
          </w:tcPr>
          <w:p w14:paraId="57C0989A" w14:textId="77777777" w:rsidR="00BE059B" w:rsidRPr="00FF2978" w:rsidRDefault="00FB5456">
            <w:pPr>
              <w:keepNext/>
              <w:widowControl w:val="0"/>
              <w:spacing w:after="0" w:line="240" w:lineRule="auto"/>
              <w:rPr>
                <w:b/>
              </w:rPr>
            </w:pPr>
            <w:r w:rsidRPr="00FF2978">
              <w:rPr>
                <w:b/>
              </w:rPr>
              <w:t>Contracts</w:t>
            </w:r>
          </w:p>
        </w:tc>
      </w:tr>
      <w:tr w:rsidR="00BE059B" w:rsidRPr="00FF2978" w14:paraId="2BAB9083" w14:textId="77777777" w:rsidTr="00EF2F4F">
        <w:trPr>
          <w:cantSplit/>
          <w:hidden/>
        </w:trPr>
        <w:tc>
          <w:tcPr>
            <w:tcW w:w="1335" w:type="dxa"/>
          </w:tcPr>
          <w:p w14:paraId="4B50FC21" w14:textId="77777777" w:rsidR="00BE059B" w:rsidRPr="00FF2978" w:rsidRDefault="00BE059B">
            <w:pPr>
              <w:keepNext/>
              <w:widowControl w:val="0"/>
              <w:spacing w:after="0" w:line="240" w:lineRule="auto"/>
              <w:rPr>
                <w:b/>
                <w:vanish/>
              </w:rPr>
            </w:pPr>
          </w:p>
        </w:tc>
        <w:tc>
          <w:tcPr>
            <w:tcW w:w="1335" w:type="dxa"/>
          </w:tcPr>
          <w:p w14:paraId="7CE565FC" w14:textId="77777777" w:rsidR="00BE059B" w:rsidRPr="00FF2978" w:rsidRDefault="00BE059B">
            <w:pPr>
              <w:keepNext/>
              <w:widowControl w:val="0"/>
              <w:spacing w:after="0" w:line="240" w:lineRule="auto"/>
              <w:rPr>
                <w:b/>
                <w:vanish/>
              </w:rPr>
            </w:pPr>
          </w:p>
        </w:tc>
        <w:tc>
          <w:tcPr>
            <w:tcW w:w="1336" w:type="dxa"/>
          </w:tcPr>
          <w:p w14:paraId="07867940" w14:textId="77777777" w:rsidR="00BE059B" w:rsidRPr="00FF2978" w:rsidRDefault="00BE059B">
            <w:pPr>
              <w:keepNext/>
              <w:widowControl w:val="0"/>
              <w:spacing w:after="0" w:line="240" w:lineRule="auto"/>
              <w:rPr>
                <w:b/>
                <w:vanish/>
              </w:rPr>
            </w:pPr>
          </w:p>
        </w:tc>
        <w:tc>
          <w:tcPr>
            <w:tcW w:w="1336" w:type="dxa"/>
          </w:tcPr>
          <w:p w14:paraId="4CE633BD" w14:textId="77777777" w:rsidR="00BE059B" w:rsidRPr="00FF2978" w:rsidRDefault="00BE059B">
            <w:pPr>
              <w:keepNext/>
              <w:widowControl w:val="0"/>
              <w:spacing w:after="0" w:line="240" w:lineRule="auto"/>
              <w:rPr>
                <w:b/>
                <w:vanish/>
              </w:rPr>
            </w:pPr>
          </w:p>
        </w:tc>
        <w:tc>
          <w:tcPr>
            <w:tcW w:w="1336" w:type="dxa"/>
          </w:tcPr>
          <w:p w14:paraId="365BA8EF" w14:textId="77777777" w:rsidR="00BE059B" w:rsidRPr="00FF2978" w:rsidRDefault="00BE059B">
            <w:pPr>
              <w:keepNext/>
              <w:widowControl w:val="0"/>
              <w:spacing w:after="0" w:line="240" w:lineRule="auto"/>
              <w:rPr>
                <w:b/>
                <w:vanish/>
              </w:rPr>
            </w:pPr>
          </w:p>
        </w:tc>
        <w:tc>
          <w:tcPr>
            <w:tcW w:w="1336" w:type="dxa"/>
          </w:tcPr>
          <w:p w14:paraId="756CB967" w14:textId="77777777" w:rsidR="00BE059B" w:rsidRPr="00FF2978" w:rsidRDefault="00BE059B">
            <w:pPr>
              <w:keepNext/>
              <w:widowControl w:val="0"/>
              <w:spacing w:after="0" w:line="240" w:lineRule="auto"/>
              <w:rPr>
                <w:b/>
                <w:vanish/>
              </w:rPr>
            </w:pPr>
          </w:p>
        </w:tc>
        <w:tc>
          <w:tcPr>
            <w:tcW w:w="1336" w:type="dxa"/>
          </w:tcPr>
          <w:p w14:paraId="6711A9CA" w14:textId="77777777" w:rsidR="00BE059B" w:rsidRPr="00FF2978" w:rsidRDefault="00BE059B">
            <w:pPr>
              <w:keepNext/>
              <w:widowControl w:val="0"/>
              <w:spacing w:after="0" w:line="240" w:lineRule="auto"/>
              <w:rPr>
                <w:b/>
                <w:vanish/>
              </w:rPr>
            </w:pPr>
          </w:p>
        </w:tc>
      </w:tr>
      <w:tr w:rsidR="00EF2F4F" w:rsidRPr="00FF2978" w14:paraId="5F337E05" w14:textId="77777777" w:rsidTr="00EF2F4F">
        <w:trPr>
          <w:cantSplit/>
        </w:trPr>
        <w:tc>
          <w:tcPr>
            <w:tcW w:w="1335" w:type="dxa"/>
          </w:tcPr>
          <w:p w14:paraId="6FD3BB2B" w14:textId="77777777" w:rsidR="00EF2F4F" w:rsidRPr="00FF2978" w:rsidRDefault="00EF2F4F" w:rsidP="00EF2F4F">
            <w:pPr>
              <w:keepNext/>
              <w:widowControl w:val="0"/>
              <w:spacing w:after="0" w:line="240" w:lineRule="auto"/>
            </w:pPr>
            <w:r w:rsidRPr="00FF2978">
              <w:t>Number</w:t>
            </w:r>
          </w:p>
        </w:tc>
        <w:tc>
          <w:tcPr>
            <w:tcW w:w="1335" w:type="dxa"/>
          </w:tcPr>
          <w:p w14:paraId="28C048B3" w14:textId="59D6186D" w:rsidR="00EF2F4F" w:rsidRPr="00FF2978" w:rsidRDefault="006B27B4" w:rsidP="00EF2F4F">
            <w:pPr>
              <w:keepNext/>
              <w:widowControl w:val="0"/>
              <w:spacing w:after="0" w:line="240" w:lineRule="auto"/>
              <w:jc w:val="center"/>
            </w:pPr>
            <w:r w:rsidRPr="00FF2978">
              <w:rPr>
                <w:rFonts w:cs="Arial"/>
              </w:rPr>
              <w:t>1</w:t>
            </w:r>
          </w:p>
        </w:tc>
        <w:tc>
          <w:tcPr>
            <w:tcW w:w="1336" w:type="dxa"/>
          </w:tcPr>
          <w:p w14:paraId="73B1BA0A" w14:textId="7414E026" w:rsidR="00EF2F4F" w:rsidRPr="00FF2978" w:rsidRDefault="00EF2F4F" w:rsidP="00EF2F4F">
            <w:pPr>
              <w:keepNext/>
              <w:widowControl w:val="0"/>
              <w:spacing w:after="0" w:line="240" w:lineRule="auto"/>
              <w:jc w:val="center"/>
            </w:pPr>
            <w:r w:rsidRPr="00FF2978">
              <w:rPr>
                <w:rFonts w:cs="Arial"/>
              </w:rPr>
              <w:t>0</w:t>
            </w:r>
          </w:p>
        </w:tc>
        <w:tc>
          <w:tcPr>
            <w:tcW w:w="1336" w:type="dxa"/>
          </w:tcPr>
          <w:p w14:paraId="043B089F" w14:textId="61B4CEC1" w:rsidR="00EF2F4F" w:rsidRPr="00FF2978" w:rsidRDefault="00EF2F4F" w:rsidP="00EF2F4F">
            <w:pPr>
              <w:keepNext/>
              <w:widowControl w:val="0"/>
              <w:spacing w:after="0" w:line="240" w:lineRule="auto"/>
              <w:jc w:val="center"/>
            </w:pPr>
            <w:r w:rsidRPr="00FF2978">
              <w:rPr>
                <w:rFonts w:cs="Arial"/>
              </w:rPr>
              <w:t>0</w:t>
            </w:r>
          </w:p>
        </w:tc>
        <w:tc>
          <w:tcPr>
            <w:tcW w:w="1336" w:type="dxa"/>
          </w:tcPr>
          <w:p w14:paraId="67C68052" w14:textId="1176D384" w:rsidR="00EF2F4F" w:rsidRPr="00FF2978" w:rsidRDefault="00EF2F4F" w:rsidP="00EF2F4F">
            <w:pPr>
              <w:keepNext/>
              <w:widowControl w:val="0"/>
              <w:spacing w:after="0" w:line="240" w:lineRule="auto"/>
              <w:jc w:val="center"/>
            </w:pPr>
            <w:r w:rsidRPr="00FF2978">
              <w:rPr>
                <w:rFonts w:cs="Arial"/>
              </w:rPr>
              <w:t>0</w:t>
            </w:r>
          </w:p>
        </w:tc>
        <w:tc>
          <w:tcPr>
            <w:tcW w:w="1336" w:type="dxa"/>
          </w:tcPr>
          <w:p w14:paraId="4535AB59" w14:textId="310AA3B0" w:rsidR="00EF2F4F" w:rsidRPr="00FF2978" w:rsidRDefault="00A85D1B" w:rsidP="00EF2F4F">
            <w:pPr>
              <w:keepNext/>
              <w:widowControl w:val="0"/>
              <w:spacing w:after="0" w:line="240" w:lineRule="auto"/>
              <w:jc w:val="center"/>
            </w:pPr>
            <w:r w:rsidRPr="00FF2978">
              <w:rPr>
                <w:rFonts w:cs="Arial"/>
              </w:rPr>
              <w:t>1</w:t>
            </w:r>
          </w:p>
        </w:tc>
        <w:tc>
          <w:tcPr>
            <w:tcW w:w="1336" w:type="dxa"/>
          </w:tcPr>
          <w:p w14:paraId="36FB3BD7" w14:textId="5CC964B0" w:rsidR="00EF2F4F" w:rsidRPr="00FF2978" w:rsidRDefault="00EF2F4F" w:rsidP="00EF2F4F">
            <w:pPr>
              <w:keepNext/>
              <w:widowControl w:val="0"/>
              <w:spacing w:after="0" w:line="240" w:lineRule="auto"/>
              <w:jc w:val="center"/>
            </w:pPr>
            <w:r w:rsidRPr="00FF2978">
              <w:rPr>
                <w:rFonts w:cs="Arial"/>
              </w:rPr>
              <w:t>0</w:t>
            </w:r>
          </w:p>
        </w:tc>
      </w:tr>
      <w:tr w:rsidR="00EF2F4F" w:rsidRPr="00FF2978" w14:paraId="2E360A81" w14:textId="77777777" w:rsidTr="00EF2F4F">
        <w:trPr>
          <w:cantSplit/>
        </w:trPr>
        <w:tc>
          <w:tcPr>
            <w:tcW w:w="1335" w:type="dxa"/>
          </w:tcPr>
          <w:p w14:paraId="55767AA1" w14:textId="77777777" w:rsidR="00EF2F4F" w:rsidRPr="00FF2978" w:rsidRDefault="00EF2F4F" w:rsidP="00EF2F4F">
            <w:pPr>
              <w:keepNext/>
              <w:widowControl w:val="0"/>
              <w:spacing w:after="0" w:line="240" w:lineRule="auto"/>
            </w:pPr>
            <w:r w:rsidRPr="00FF2978">
              <w:t>Dollar Amount</w:t>
            </w:r>
          </w:p>
        </w:tc>
        <w:tc>
          <w:tcPr>
            <w:tcW w:w="1335" w:type="dxa"/>
          </w:tcPr>
          <w:p w14:paraId="3D4B5325" w14:textId="60EAC5BA" w:rsidR="00EF2F4F" w:rsidRPr="00FF2978" w:rsidRDefault="006B27B4" w:rsidP="00EF2F4F">
            <w:pPr>
              <w:keepNext/>
              <w:widowControl w:val="0"/>
              <w:spacing w:after="0" w:line="240" w:lineRule="auto"/>
              <w:jc w:val="center"/>
            </w:pPr>
            <w:r w:rsidRPr="00FF2978">
              <w:rPr>
                <w:rFonts w:cs="Arial"/>
              </w:rPr>
              <w:t>$130,960</w:t>
            </w:r>
          </w:p>
        </w:tc>
        <w:tc>
          <w:tcPr>
            <w:tcW w:w="1336" w:type="dxa"/>
          </w:tcPr>
          <w:p w14:paraId="0DC1986C" w14:textId="5FE7FBD4" w:rsidR="00EF2F4F" w:rsidRPr="00FF2978" w:rsidRDefault="00EF2F4F" w:rsidP="00EF2F4F">
            <w:pPr>
              <w:keepNext/>
              <w:widowControl w:val="0"/>
              <w:spacing w:after="0" w:line="240" w:lineRule="auto"/>
              <w:jc w:val="center"/>
            </w:pPr>
            <w:r w:rsidRPr="00FF2978">
              <w:rPr>
                <w:rFonts w:cs="Arial"/>
              </w:rPr>
              <w:t>0</w:t>
            </w:r>
          </w:p>
        </w:tc>
        <w:tc>
          <w:tcPr>
            <w:tcW w:w="1336" w:type="dxa"/>
          </w:tcPr>
          <w:p w14:paraId="570122E0" w14:textId="706C9AAD" w:rsidR="00EF2F4F" w:rsidRPr="00FF2978" w:rsidRDefault="00EF2F4F" w:rsidP="00EF2F4F">
            <w:pPr>
              <w:keepNext/>
              <w:widowControl w:val="0"/>
              <w:spacing w:after="0" w:line="240" w:lineRule="auto"/>
              <w:jc w:val="center"/>
            </w:pPr>
            <w:r w:rsidRPr="00FF2978">
              <w:rPr>
                <w:rFonts w:cs="Arial"/>
              </w:rPr>
              <w:t>0</w:t>
            </w:r>
          </w:p>
        </w:tc>
        <w:tc>
          <w:tcPr>
            <w:tcW w:w="1336" w:type="dxa"/>
          </w:tcPr>
          <w:p w14:paraId="61A3DBB1" w14:textId="169D1B63" w:rsidR="00EF2F4F" w:rsidRPr="00FF2978" w:rsidRDefault="00EF2F4F" w:rsidP="00EF2F4F">
            <w:pPr>
              <w:keepNext/>
              <w:widowControl w:val="0"/>
              <w:spacing w:after="0" w:line="240" w:lineRule="auto"/>
              <w:jc w:val="center"/>
            </w:pPr>
            <w:r w:rsidRPr="00FF2978">
              <w:rPr>
                <w:rFonts w:cs="Arial"/>
              </w:rPr>
              <w:t>0</w:t>
            </w:r>
          </w:p>
        </w:tc>
        <w:tc>
          <w:tcPr>
            <w:tcW w:w="1336" w:type="dxa"/>
          </w:tcPr>
          <w:p w14:paraId="662FF9DA" w14:textId="41317944" w:rsidR="00EF2F4F" w:rsidRPr="00FF2978" w:rsidRDefault="00A85D1B" w:rsidP="00EF2F4F">
            <w:pPr>
              <w:keepNext/>
              <w:widowControl w:val="0"/>
              <w:spacing w:after="0" w:line="240" w:lineRule="auto"/>
              <w:jc w:val="center"/>
            </w:pPr>
            <w:r w:rsidRPr="00FF2978">
              <w:rPr>
                <w:rFonts w:cs="Arial"/>
              </w:rPr>
              <w:t>$</w:t>
            </w:r>
            <w:r w:rsidR="006B27B4" w:rsidRPr="00FF2978">
              <w:rPr>
                <w:rFonts w:cs="Arial"/>
              </w:rPr>
              <w:t>130,960</w:t>
            </w:r>
          </w:p>
        </w:tc>
        <w:tc>
          <w:tcPr>
            <w:tcW w:w="1336" w:type="dxa"/>
          </w:tcPr>
          <w:p w14:paraId="59911741" w14:textId="352897F8" w:rsidR="00EF2F4F" w:rsidRPr="00FF2978" w:rsidRDefault="00EF2F4F" w:rsidP="00EF2F4F">
            <w:pPr>
              <w:keepNext/>
              <w:widowControl w:val="0"/>
              <w:spacing w:after="0" w:line="240" w:lineRule="auto"/>
              <w:jc w:val="center"/>
            </w:pPr>
            <w:r w:rsidRPr="00FF2978">
              <w:rPr>
                <w:rFonts w:cs="Arial"/>
              </w:rPr>
              <w:t>0</w:t>
            </w:r>
          </w:p>
        </w:tc>
      </w:tr>
    </w:tbl>
    <w:p w14:paraId="6A3DD44C" w14:textId="77777777" w:rsidR="00BE059B" w:rsidRPr="00FF2978" w:rsidRDefault="00BE059B">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059B" w:rsidRPr="00FF2978" w14:paraId="4AF228F4" w14:textId="77777777" w:rsidTr="00EF2F4F">
        <w:trPr>
          <w:cantSplit/>
        </w:trPr>
        <w:tc>
          <w:tcPr>
            <w:tcW w:w="9350" w:type="dxa"/>
            <w:gridSpan w:val="7"/>
          </w:tcPr>
          <w:p w14:paraId="610654DA" w14:textId="77777777" w:rsidR="00BE059B" w:rsidRPr="00FF2978" w:rsidRDefault="00FB5456">
            <w:pPr>
              <w:keepNext/>
              <w:widowControl w:val="0"/>
              <w:spacing w:after="0" w:line="240" w:lineRule="auto"/>
              <w:rPr>
                <w:b/>
              </w:rPr>
            </w:pPr>
            <w:r w:rsidRPr="00FF2978">
              <w:rPr>
                <w:b/>
              </w:rPr>
              <w:t>Sub-Contracts</w:t>
            </w:r>
          </w:p>
        </w:tc>
      </w:tr>
      <w:tr w:rsidR="00BE059B" w:rsidRPr="00FF2978" w14:paraId="0D9970F6" w14:textId="77777777" w:rsidTr="00EF2F4F">
        <w:trPr>
          <w:cantSplit/>
          <w:hidden/>
        </w:trPr>
        <w:tc>
          <w:tcPr>
            <w:tcW w:w="1335" w:type="dxa"/>
          </w:tcPr>
          <w:p w14:paraId="4719F8D9" w14:textId="77777777" w:rsidR="00BE059B" w:rsidRPr="00FF2978" w:rsidRDefault="00BE059B">
            <w:pPr>
              <w:keepNext/>
              <w:widowControl w:val="0"/>
              <w:spacing w:after="0" w:line="240" w:lineRule="auto"/>
              <w:rPr>
                <w:b/>
                <w:vanish/>
              </w:rPr>
            </w:pPr>
          </w:p>
        </w:tc>
        <w:tc>
          <w:tcPr>
            <w:tcW w:w="1335" w:type="dxa"/>
          </w:tcPr>
          <w:p w14:paraId="4A6C7F5D" w14:textId="77777777" w:rsidR="00BE059B" w:rsidRPr="00FF2978" w:rsidRDefault="00BE059B">
            <w:pPr>
              <w:keepNext/>
              <w:widowControl w:val="0"/>
              <w:spacing w:after="0" w:line="240" w:lineRule="auto"/>
              <w:rPr>
                <w:b/>
                <w:vanish/>
              </w:rPr>
            </w:pPr>
          </w:p>
        </w:tc>
        <w:tc>
          <w:tcPr>
            <w:tcW w:w="1336" w:type="dxa"/>
          </w:tcPr>
          <w:p w14:paraId="3F5EE728" w14:textId="77777777" w:rsidR="00BE059B" w:rsidRPr="00FF2978" w:rsidRDefault="00BE059B">
            <w:pPr>
              <w:keepNext/>
              <w:widowControl w:val="0"/>
              <w:spacing w:after="0" w:line="240" w:lineRule="auto"/>
              <w:rPr>
                <w:b/>
                <w:vanish/>
              </w:rPr>
            </w:pPr>
          </w:p>
        </w:tc>
        <w:tc>
          <w:tcPr>
            <w:tcW w:w="1336" w:type="dxa"/>
          </w:tcPr>
          <w:p w14:paraId="36D6B13D" w14:textId="77777777" w:rsidR="00BE059B" w:rsidRPr="00FF2978" w:rsidRDefault="00BE059B">
            <w:pPr>
              <w:keepNext/>
              <w:widowControl w:val="0"/>
              <w:spacing w:after="0" w:line="240" w:lineRule="auto"/>
              <w:rPr>
                <w:b/>
                <w:vanish/>
              </w:rPr>
            </w:pPr>
          </w:p>
        </w:tc>
        <w:tc>
          <w:tcPr>
            <w:tcW w:w="1336" w:type="dxa"/>
          </w:tcPr>
          <w:p w14:paraId="655A447A" w14:textId="77777777" w:rsidR="00BE059B" w:rsidRPr="00FF2978" w:rsidRDefault="00BE059B">
            <w:pPr>
              <w:keepNext/>
              <w:widowControl w:val="0"/>
              <w:spacing w:after="0" w:line="240" w:lineRule="auto"/>
              <w:rPr>
                <w:b/>
                <w:vanish/>
              </w:rPr>
            </w:pPr>
          </w:p>
        </w:tc>
        <w:tc>
          <w:tcPr>
            <w:tcW w:w="1336" w:type="dxa"/>
          </w:tcPr>
          <w:p w14:paraId="5301FBEC" w14:textId="77777777" w:rsidR="00BE059B" w:rsidRPr="00FF2978" w:rsidRDefault="00BE059B">
            <w:pPr>
              <w:keepNext/>
              <w:widowControl w:val="0"/>
              <w:spacing w:after="0" w:line="240" w:lineRule="auto"/>
              <w:rPr>
                <w:b/>
                <w:vanish/>
              </w:rPr>
            </w:pPr>
          </w:p>
        </w:tc>
        <w:tc>
          <w:tcPr>
            <w:tcW w:w="1336" w:type="dxa"/>
          </w:tcPr>
          <w:p w14:paraId="0E2A7364" w14:textId="77777777" w:rsidR="00BE059B" w:rsidRPr="00FF2978" w:rsidRDefault="00BE059B">
            <w:pPr>
              <w:keepNext/>
              <w:widowControl w:val="0"/>
              <w:spacing w:after="0" w:line="240" w:lineRule="auto"/>
              <w:rPr>
                <w:b/>
                <w:vanish/>
              </w:rPr>
            </w:pPr>
          </w:p>
        </w:tc>
      </w:tr>
      <w:tr w:rsidR="00EF2F4F" w:rsidRPr="00FF2978" w14:paraId="4B1C47BF" w14:textId="77777777" w:rsidTr="00EF2F4F">
        <w:trPr>
          <w:cantSplit/>
        </w:trPr>
        <w:tc>
          <w:tcPr>
            <w:tcW w:w="1335" w:type="dxa"/>
          </w:tcPr>
          <w:p w14:paraId="528F5898" w14:textId="77777777" w:rsidR="00EF2F4F" w:rsidRPr="00FF2978" w:rsidRDefault="00EF2F4F" w:rsidP="00EF2F4F">
            <w:pPr>
              <w:keepNext/>
              <w:widowControl w:val="0"/>
              <w:spacing w:after="0" w:line="240" w:lineRule="auto"/>
            </w:pPr>
            <w:r w:rsidRPr="00FF2978">
              <w:t>Number</w:t>
            </w:r>
          </w:p>
        </w:tc>
        <w:tc>
          <w:tcPr>
            <w:tcW w:w="1335" w:type="dxa"/>
          </w:tcPr>
          <w:p w14:paraId="6046A725" w14:textId="7ADB7946" w:rsidR="00EF2F4F" w:rsidRPr="00FF2978" w:rsidRDefault="00EF2F4F" w:rsidP="00EF2F4F">
            <w:pPr>
              <w:keepNext/>
              <w:widowControl w:val="0"/>
              <w:spacing w:after="0" w:line="240" w:lineRule="auto"/>
              <w:jc w:val="center"/>
            </w:pPr>
            <w:r w:rsidRPr="00FF2978">
              <w:rPr>
                <w:rFonts w:cs="Arial"/>
              </w:rPr>
              <w:t>0</w:t>
            </w:r>
          </w:p>
        </w:tc>
        <w:tc>
          <w:tcPr>
            <w:tcW w:w="1336" w:type="dxa"/>
          </w:tcPr>
          <w:p w14:paraId="11870DD0" w14:textId="3386B253" w:rsidR="00EF2F4F" w:rsidRPr="00FF2978" w:rsidRDefault="00EF2F4F" w:rsidP="00EF2F4F">
            <w:pPr>
              <w:keepNext/>
              <w:widowControl w:val="0"/>
              <w:spacing w:after="0" w:line="240" w:lineRule="auto"/>
              <w:jc w:val="center"/>
            </w:pPr>
            <w:r w:rsidRPr="00FF2978">
              <w:rPr>
                <w:rFonts w:cs="Arial"/>
              </w:rPr>
              <w:t>0</w:t>
            </w:r>
          </w:p>
        </w:tc>
        <w:tc>
          <w:tcPr>
            <w:tcW w:w="1336" w:type="dxa"/>
          </w:tcPr>
          <w:p w14:paraId="0529901A" w14:textId="64A6F402" w:rsidR="00EF2F4F" w:rsidRPr="00FF2978" w:rsidRDefault="00EF2F4F" w:rsidP="00EF2F4F">
            <w:pPr>
              <w:keepNext/>
              <w:widowControl w:val="0"/>
              <w:spacing w:after="0" w:line="240" w:lineRule="auto"/>
              <w:jc w:val="center"/>
            </w:pPr>
            <w:r w:rsidRPr="00FF2978">
              <w:rPr>
                <w:rFonts w:cs="Arial"/>
              </w:rPr>
              <w:t>0</w:t>
            </w:r>
          </w:p>
        </w:tc>
        <w:tc>
          <w:tcPr>
            <w:tcW w:w="1336" w:type="dxa"/>
          </w:tcPr>
          <w:p w14:paraId="2689D704" w14:textId="3C251C0A" w:rsidR="00EF2F4F" w:rsidRPr="00FF2978" w:rsidRDefault="00EF2F4F" w:rsidP="00EF2F4F">
            <w:pPr>
              <w:keepNext/>
              <w:widowControl w:val="0"/>
              <w:spacing w:after="0" w:line="240" w:lineRule="auto"/>
              <w:jc w:val="center"/>
            </w:pPr>
            <w:r w:rsidRPr="00FF2978">
              <w:rPr>
                <w:rFonts w:cs="Arial"/>
              </w:rPr>
              <w:t>0</w:t>
            </w:r>
          </w:p>
        </w:tc>
        <w:tc>
          <w:tcPr>
            <w:tcW w:w="1336" w:type="dxa"/>
          </w:tcPr>
          <w:p w14:paraId="110A7651" w14:textId="1485372F" w:rsidR="00EF2F4F" w:rsidRPr="00FF2978" w:rsidRDefault="00EF2F4F" w:rsidP="00EF2F4F">
            <w:pPr>
              <w:keepNext/>
              <w:widowControl w:val="0"/>
              <w:spacing w:after="0" w:line="240" w:lineRule="auto"/>
              <w:jc w:val="center"/>
            </w:pPr>
            <w:r w:rsidRPr="00FF2978">
              <w:rPr>
                <w:rFonts w:cs="Arial"/>
              </w:rPr>
              <w:t>0</w:t>
            </w:r>
          </w:p>
        </w:tc>
        <w:tc>
          <w:tcPr>
            <w:tcW w:w="1336" w:type="dxa"/>
          </w:tcPr>
          <w:p w14:paraId="5969CE4D" w14:textId="5DACB3CA" w:rsidR="00EF2F4F" w:rsidRPr="00FF2978" w:rsidRDefault="00EF2F4F" w:rsidP="00EF2F4F">
            <w:pPr>
              <w:keepNext/>
              <w:widowControl w:val="0"/>
              <w:spacing w:after="0" w:line="240" w:lineRule="auto"/>
              <w:jc w:val="center"/>
            </w:pPr>
            <w:r w:rsidRPr="00FF2978">
              <w:rPr>
                <w:rFonts w:cs="Arial"/>
              </w:rPr>
              <w:t>0</w:t>
            </w:r>
          </w:p>
        </w:tc>
      </w:tr>
      <w:tr w:rsidR="00EF2F4F" w:rsidRPr="00FF2978" w14:paraId="05A34561" w14:textId="77777777" w:rsidTr="00EF2F4F">
        <w:trPr>
          <w:cantSplit/>
        </w:trPr>
        <w:tc>
          <w:tcPr>
            <w:tcW w:w="1335" w:type="dxa"/>
          </w:tcPr>
          <w:p w14:paraId="16F95A2F" w14:textId="77777777" w:rsidR="00EF2F4F" w:rsidRPr="00FF2978" w:rsidRDefault="00EF2F4F" w:rsidP="00EF2F4F">
            <w:pPr>
              <w:keepNext/>
              <w:widowControl w:val="0"/>
              <w:spacing w:after="0" w:line="240" w:lineRule="auto"/>
            </w:pPr>
            <w:r w:rsidRPr="00FF2978">
              <w:t>Dollar Amount</w:t>
            </w:r>
          </w:p>
        </w:tc>
        <w:tc>
          <w:tcPr>
            <w:tcW w:w="1335" w:type="dxa"/>
          </w:tcPr>
          <w:p w14:paraId="770570D9" w14:textId="50C86991" w:rsidR="00EF2F4F" w:rsidRPr="00FF2978" w:rsidRDefault="00EF2F4F" w:rsidP="00EF2F4F">
            <w:pPr>
              <w:keepNext/>
              <w:widowControl w:val="0"/>
              <w:spacing w:after="0" w:line="240" w:lineRule="auto"/>
              <w:jc w:val="center"/>
            </w:pPr>
            <w:r w:rsidRPr="00FF2978">
              <w:rPr>
                <w:rFonts w:cs="Arial"/>
              </w:rPr>
              <w:t>0</w:t>
            </w:r>
          </w:p>
        </w:tc>
        <w:tc>
          <w:tcPr>
            <w:tcW w:w="1336" w:type="dxa"/>
          </w:tcPr>
          <w:p w14:paraId="26C72261" w14:textId="5173DB0A" w:rsidR="00EF2F4F" w:rsidRPr="00FF2978" w:rsidRDefault="00EF2F4F" w:rsidP="00EF2F4F">
            <w:pPr>
              <w:keepNext/>
              <w:widowControl w:val="0"/>
              <w:spacing w:after="0" w:line="240" w:lineRule="auto"/>
              <w:jc w:val="center"/>
            </w:pPr>
            <w:r w:rsidRPr="00FF2978">
              <w:rPr>
                <w:rFonts w:cs="Arial"/>
              </w:rPr>
              <w:t>0</w:t>
            </w:r>
          </w:p>
        </w:tc>
        <w:tc>
          <w:tcPr>
            <w:tcW w:w="1336" w:type="dxa"/>
          </w:tcPr>
          <w:p w14:paraId="407EAC4B" w14:textId="73EBE7B6" w:rsidR="00EF2F4F" w:rsidRPr="00FF2978" w:rsidRDefault="00EF2F4F" w:rsidP="00EF2F4F">
            <w:pPr>
              <w:keepNext/>
              <w:widowControl w:val="0"/>
              <w:spacing w:after="0" w:line="240" w:lineRule="auto"/>
              <w:jc w:val="center"/>
            </w:pPr>
            <w:r w:rsidRPr="00FF2978">
              <w:rPr>
                <w:rFonts w:cs="Arial"/>
              </w:rPr>
              <w:t>0</w:t>
            </w:r>
          </w:p>
        </w:tc>
        <w:tc>
          <w:tcPr>
            <w:tcW w:w="1336" w:type="dxa"/>
          </w:tcPr>
          <w:p w14:paraId="56A496E8" w14:textId="76B18D43" w:rsidR="00EF2F4F" w:rsidRPr="00FF2978" w:rsidRDefault="00EF2F4F" w:rsidP="00EF2F4F">
            <w:pPr>
              <w:keepNext/>
              <w:widowControl w:val="0"/>
              <w:spacing w:after="0" w:line="240" w:lineRule="auto"/>
              <w:jc w:val="center"/>
            </w:pPr>
            <w:r w:rsidRPr="00FF2978">
              <w:rPr>
                <w:rFonts w:cs="Arial"/>
              </w:rPr>
              <w:t>0</w:t>
            </w:r>
          </w:p>
        </w:tc>
        <w:tc>
          <w:tcPr>
            <w:tcW w:w="1336" w:type="dxa"/>
          </w:tcPr>
          <w:p w14:paraId="033E1E13" w14:textId="55A2B2A8" w:rsidR="00EF2F4F" w:rsidRPr="00FF2978" w:rsidRDefault="00EF2F4F" w:rsidP="00EF2F4F">
            <w:pPr>
              <w:keepNext/>
              <w:widowControl w:val="0"/>
              <w:spacing w:after="0" w:line="240" w:lineRule="auto"/>
              <w:jc w:val="center"/>
            </w:pPr>
            <w:r w:rsidRPr="00FF2978">
              <w:rPr>
                <w:rFonts w:cs="Arial"/>
              </w:rPr>
              <w:t>0</w:t>
            </w:r>
          </w:p>
        </w:tc>
        <w:tc>
          <w:tcPr>
            <w:tcW w:w="1336" w:type="dxa"/>
          </w:tcPr>
          <w:p w14:paraId="01145F93" w14:textId="457A47A4" w:rsidR="00EF2F4F" w:rsidRPr="00FF2978" w:rsidRDefault="00EF2F4F" w:rsidP="00EF2F4F">
            <w:pPr>
              <w:keepNext/>
              <w:widowControl w:val="0"/>
              <w:spacing w:after="0" w:line="240" w:lineRule="auto"/>
              <w:jc w:val="center"/>
            </w:pPr>
            <w:r w:rsidRPr="00FF2978">
              <w:rPr>
                <w:rFonts w:cs="Arial"/>
              </w:rPr>
              <w:t>0</w:t>
            </w:r>
          </w:p>
        </w:tc>
      </w:tr>
    </w:tbl>
    <w:p w14:paraId="63A93C79" w14:textId="77777777" w:rsidR="00BE059B" w:rsidRPr="00FF2978" w:rsidRDefault="00BE059B">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BE059B" w:rsidRPr="00FF2978" w14:paraId="25393306" w14:textId="77777777">
        <w:trPr>
          <w:cantSplit/>
        </w:trPr>
        <w:tc>
          <w:tcPr>
            <w:tcW w:w="1394" w:type="dxa"/>
          </w:tcPr>
          <w:p w14:paraId="6E81DB68" w14:textId="77777777" w:rsidR="00BE059B" w:rsidRPr="00FF2978" w:rsidRDefault="00BE059B">
            <w:pPr>
              <w:keepNext/>
              <w:widowControl w:val="0"/>
              <w:spacing w:after="0" w:line="240" w:lineRule="auto"/>
              <w:rPr>
                <w:b/>
              </w:rPr>
            </w:pPr>
          </w:p>
        </w:tc>
        <w:tc>
          <w:tcPr>
            <w:tcW w:w="1393" w:type="dxa"/>
          </w:tcPr>
          <w:p w14:paraId="06CB14F4" w14:textId="77777777" w:rsidR="00BE059B" w:rsidRPr="00FF2978" w:rsidRDefault="00FB5456">
            <w:pPr>
              <w:keepNext/>
              <w:widowControl w:val="0"/>
              <w:spacing w:after="0" w:line="240" w:lineRule="auto"/>
              <w:jc w:val="center"/>
              <w:rPr>
                <w:b/>
              </w:rPr>
            </w:pPr>
            <w:r w:rsidRPr="00FF2978">
              <w:rPr>
                <w:b/>
              </w:rPr>
              <w:t>Total</w:t>
            </w:r>
          </w:p>
        </w:tc>
        <w:tc>
          <w:tcPr>
            <w:tcW w:w="1393" w:type="dxa"/>
          </w:tcPr>
          <w:p w14:paraId="37EF84F8" w14:textId="77777777" w:rsidR="00BE059B" w:rsidRPr="00FF2978" w:rsidRDefault="00FB5456">
            <w:pPr>
              <w:keepNext/>
              <w:widowControl w:val="0"/>
              <w:spacing w:after="0" w:line="240" w:lineRule="auto"/>
              <w:jc w:val="center"/>
              <w:rPr>
                <w:b/>
                <w:szCs w:val="24"/>
              </w:rPr>
            </w:pPr>
            <w:r w:rsidRPr="00FF2978">
              <w:rPr>
                <w:b/>
              </w:rPr>
              <w:t>Women Business Enterprises</w:t>
            </w:r>
          </w:p>
        </w:tc>
        <w:tc>
          <w:tcPr>
            <w:tcW w:w="1393" w:type="dxa"/>
          </w:tcPr>
          <w:p w14:paraId="7ACCFE00" w14:textId="77777777" w:rsidR="00BE059B" w:rsidRPr="00FF2978" w:rsidRDefault="00FB5456">
            <w:pPr>
              <w:keepNext/>
              <w:widowControl w:val="0"/>
              <w:spacing w:after="0" w:line="240" w:lineRule="auto"/>
              <w:jc w:val="center"/>
              <w:rPr>
                <w:b/>
                <w:szCs w:val="24"/>
              </w:rPr>
            </w:pPr>
            <w:r w:rsidRPr="00FF2978">
              <w:rPr>
                <w:b/>
              </w:rPr>
              <w:t>Male</w:t>
            </w:r>
          </w:p>
        </w:tc>
      </w:tr>
    </w:tbl>
    <w:p w14:paraId="1E672BBF" w14:textId="77777777" w:rsidR="00BE059B" w:rsidRPr="00FF2978" w:rsidRDefault="00BE059B">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BE059B" w:rsidRPr="00FF2978" w14:paraId="3DF67099" w14:textId="77777777" w:rsidTr="00EF2F4F">
        <w:trPr>
          <w:cantSplit/>
        </w:trPr>
        <w:tc>
          <w:tcPr>
            <w:tcW w:w="5348" w:type="dxa"/>
            <w:gridSpan w:val="4"/>
          </w:tcPr>
          <w:p w14:paraId="77060B8F" w14:textId="77777777" w:rsidR="00BE059B" w:rsidRPr="00FF2978" w:rsidRDefault="00FB5456">
            <w:pPr>
              <w:keepNext/>
              <w:widowControl w:val="0"/>
              <w:spacing w:after="0" w:line="240" w:lineRule="auto"/>
              <w:rPr>
                <w:b/>
              </w:rPr>
            </w:pPr>
            <w:r w:rsidRPr="00FF2978">
              <w:rPr>
                <w:b/>
              </w:rPr>
              <w:t>Contracts</w:t>
            </w:r>
          </w:p>
        </w:tc>
      </w:tr>
      <w:tr w:rsidR="00BE059B" w:rsidRPr="00FF2978" w14:paraId="532D630C" w14:textId="77777777" w:rsidTr="00EF2F4F">
        <w:trPr>
          <w:cantSplit/>
          <w:hidden/>
        </w:trPr>
        <w:tc>
          <w:tcPr>
            <w:tcW w:w="1358" w:type="dxa"/>
          </w:tcPr>
          <w:p w14:paraId="324A7CF8" w14:textId="77777777" w:rsidR="00BE059B" w:rsidRPr="00FF2978" w:rsidRDefault="00BE059B">
            <w:pPr>
              <w:keepNext/>
              <w:widowControl w:val="0"/>
              <w:spacing w:after="0" w:line="240" w:lineRule="auto"/>
              <w:rPr>
                <w:b/>
                <w:vanish/>
              </w:rPr>
            </w:pPr>
          </w:p>
        </w:tc>
        <w:tc>
          <w:tcPr>
            <w:tcW w:w="1330" w:type="dxa"/>
          </w:tcPr>
          <w:p w14:paraId="6EA8F255" w14:textId="77777777" w:rsidR="00BE059B" w:rsidRPr="00FF2978" w:rsidRDefault="00BE059B">
            <w:pPr>
              <w:keepNext/>
              <w:widowControl w:val="0"/>
              <w:spacing w:after="0" w:line="240" w:lineRule="auto"/>
              <w:rPr>
                <w:b/>
                <w:vanish/>
              </w:rPr>
            </w:pPr>
          </w:p>
        </w:tc>
        <w:tc>
          <w:tcPr>
            <w:tcW w:w="1330" w:type="dxa"/>
          </w:tcPr>
          <w:p w14:paraId="6265A894" w14:textId="77777777" w:rsidR="00BE059B" w:rsidRPr="00FF2978" w:rsidRDefault="00BE059B">
            <w:pPr>
              <w:keepNext/>
              <w:widowControl w:val="0"/>
              <w:spacing w:after="0" w:line="240" w:lineRule="auto"/>
              <w:rPr>
                <w:b/>
                <w:vanish/>
              </w:rPr>
            </w:pPr>
          </w:p>
        </w:tc>
        <w:tc>
          <w:tcPr>
            <w:tcW w:w="1330" w:type="dxa"/>
          </w:tcPr>
          <w:p w14:paraId="71011FC9" w14:textId="77777777" w:rsidR="00BE059B" w:rsidRPr="00FF2978" w:rsidRDefault="00BE059B">
            <w:pPr>
              <w:keepNext/>
              <w:widowControl w:val="0"/>
              <w:spacing w:after="0" w:line="240" w:lineRule="auto"/>
              <w:rPr>
                <w:b/>
                <w:vanish/>
              </w:rPr>
            </w:pPr>
          </w:p>
        </w:tc>
      </w:tr>
      <w:tr w:rsidR="00EF2F4F" w:rsidRPr="00FF2978" w14:paraId="17E64E7C" w14:textId="77777777" w:rsidTr="00EF2F4F">
        <w:trPr>
          <w:cantSplit/>
        </w:trPr>
        <w:tc>
          <w:tcPr>
            <w:tcW w:w="1358" w:type="dxa"/>
          </w:tcPr>
          <w:p w14:paraId="0F3D951C" w14:textId="77777777" w:rsidR="00EF2F4F" w:rsidRPr="00FF2978" w:rsidRDefault="00EF2F4F" w:rsidP="00EF2F4F">
            <w:pPr>
              <w:keepNext/>
              <w:widowControl w:val="0"/>
              <w:spacing w:after="0" w:line="240" w:lineRule="auto"/>
              <w:rPr>
                <w:b/>
              </w:rPr>
            </w:pPr>
            <w:r w:rsidRPr="00FF2978">
              <w:t>Number</w:t>
            </w:r>
          </w:p>
        </w:tc>
        <w:tc>
          <w:tcPr>
            <w:tcW w:w="1330" w:type="dxa"/>
          </w:tcPr>
          <w:p w14:paraId="488E0D2B" w14:textId="6D906AE2" w:rsidR="00EF2F4F" w:rsidRPr="00FF2978" w:rsidRDefault="006B27B4" w:rsidP="00EF2F4F">
            <w:pPr>
              <w:keepNext/>
              <w:widowControl w:val="0"/>
              <w:spacing w:after="0" w:line="240" w:lineRule="auto"/>
              <w:jc w:val="center"/>
              <w:rPr>
                <w:b/>
              </w:rPr>
            </w:pPr>
            <w:r w:rsidRPr="00FF2978">
              <w:rPr>
                <w:rFonts w:cs="Arial"/>
              </w:rPr>
              <w:t>1</w:t>
            </w:r>
          </w:p>
        </w:tc>
        <w:tc>
          <w:tcPr>
            <w:tcW w:w="1330" w:type="dxa"/>
          </w:tcPr>
          <w:p w14:paraId="0C9BF4BB" w14:textId="25487ACA"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56084FB2" w14:textId="686F6863" w:rsidR="00EF2F4F" w:rsidRPr="00FF2978" w:rsidRDefault="00FF2978" w:rsidP="00EF2F4F">
            <w:pPr>
              <w:keepNext/>
              <w:widowControl w:val="0"/>
              <w:spacing w:after="0" w:line="240" w:lineRule="auto"/>
              <w:jc w:val="center"/>
              <w:rPr>
                <w:b/>
              </w:rPr>
            </w:pPr>
            <w:r w:rsidRPr="00FF2978">
              <w:rPr>
                <w:rFonts w:cs="Arial"/>
              </w:rPr>
              <w:t>1</w:t>
            </w:r>
          </w:p>
        </w:tc>
      </w:tr>
      <w:tr w:rsidR="00EF2F4F" w:rsidRPr="00FF2978" w14:paraId="04878521" w14:textId="77777777" w:rsidTr="00EF2F4F">
        <w:trPr>
          <w:cantSplit/>
        </w:trPr>
        <w:tc>
          <w:tcPr>
            <w:tcW w:w="1358" w:type="dxa"/>
          </w:tcPr>
          <w:p w14:paraId="795DB752" w14:textId="77777777" w:rsidR="00EF2F4F" w:rsidRPr="00FF2978" w:rsidRDefault="00EF2F4F" w:rsidP="00EF2F4F">
            <w:pPr>
              <w:keepNext/>
              <w:widowControl w:val="0"/>
              <w:spacing w:after="0" w:line="240" w:lineRule="auto"/>
            </w:pPr>
            <w:r w:rsidRPr="00FF2978">
              <w:t>Dollar Amount</w:t>
            </w:r>
          </w:p>
        </w:tc>
        <w:tc>
          <w:tcPr>
            <w:tcW w:w="1330" w:type="dxa"/>
          </w:tcPr>
          <w:p w14:paraId="1B4EC18C" w14:textId="28205FE2" w:rsidR="00EF2F4F" w:rsidRPr="00FF2978" w:rsidRDefault="006B27B4" w:rsidP="00EF2F4F">
            <w:pPr>
              <w:keepNext/>
              <w:widowControl w:val="0"/>
              <w:spacing w:after="0" w:line="240" w:lineRule="auto"/>
              <w:jc w:val="center"/>
              <w:rPr>
                <w:b/>
              </w:rPr>
            </w:pPr>
            <w:r w:rsidRPr="00FF2978">
              <w:rPr>
                <w:rFonts w:cs="Arial"/>
              </w:rPr>
              <w:t>$130,960</w:t>
            </w:r>
          </w:p>
        </w:tc>
        <w:tc>
          <w:tcPr>
            <w:tcW w:w="1330" w:type="dxa"/>
          </w:tcPr>
          <w:p w14:paraId="3763DBF8" w14:textId="689B6169"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0CFA9735" w14:textId="682163BF" w:rsidR="00EF2F4F" w:rsidRPr="00FF2978" w:rsidRDefault="00FF2978" w:rsidP="00EF2F4F">
            <w:pPr>
              <w:keepNext/>
              <w:widowControl w:val="0"/>
              <w:spacing w:after="0" w:line="240" w:lineRule="auto"/>
              <w:jc w:val="center"/>
              <w:rPr>
                <w:b/>
              </w:rPr>
            </w:pPr>
            <w:r w:rsidRPr="00FF2978">
              <w:rPr>
                <w:rFonts w:cs="Arial"/>
              </w:rPr>
              <w:t>$130,960</w:t>
            </w:r>
          </w:p>
        </w:tc>
      </w:tr>
    </w:tbl>
    <w:p w14:paraId="5E0AF14B" w14:textId="77777777" w:rsidR="00BE059B" w:rsidRPr="00FF2978" w:rsidRDefault="00BE059B">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BE059B" w:rsidRPr="00FF2978" w14:paraId="413460DA" w14:textId="77777777" w:rsidTr="00EF2F4F">
        <w:trPr>
          <w:cantSplit/>
        </w:trPr>
        <w:tc>
          <w:tcPr>
            <w:tcW w:w="5348" w:type="dxa"/>
            <w:gridSpan w:val="4"/>
          </w:tcPr>
          <w:p w14:paraId="64D7ADD3" w14:textId="77777777" w:rsidR="00BE059B" w:rsidRPr="00FF2978" w:rsidRDefault="00FB5456">
            <w:pPr>
              <w:keepNext/>
              <w:widowControl w:val="0"/>
              <w:spacing w:after="0" w:line="240" w:lineRule="auto"/>
              <w:rPr>
                <w:b/>
              </w:rPr>
            </w:pPr>
            <w:r w:rsidRPr="00FF2978">
              <w:rPr>
                <w:b/>
              </w:rPr>
              <w:t>Sub-Contracts</w:t>
            </w:r>
          </w:p>
        </w:tc>
      </w:tr>
      <w:tr w:rsidR="00BE059B" w:rsidRPr="00FF2978" w14:paraId="022B827A" w14:textId="77777777" w:rsidTr="00EF2F4F">
        <w:trPr>
          <w:cantSplit/>
          <w:hidden/>
        </w:trPr>
        <w:tc>
          <w:tcPr>
            <w:tcW w:w="1358" w:type="dxa"/>
          </w:tcPr>
          <w:p w14:paraId="117465F0" w14:textId="77777777" w:rsidR="00BE059B" w:rsidRPr="00FF2978" w:rsidRDefault="00BE059B">
            <w:pPr>
              <w:keepNext/>
              <w:widowControl w:val="0"/>
              <w:spacing w:after="0" w:line="240" w:lineRule="auto"/>
              <w:rPr>
                <w:b/>
                <w:vanish/>
              </w:rPr>
            </w:pPr>
          </w:p>
        </w:tc>
        <w:tc>
          <w:tcPr>
            <w:tcW w:w="1330" w:type="dxa"/>
          </w:tcPr>
          <w:p w14:paraId="39775A64" w14:textId="77777777" w:rsidR="00BE059B" w:rsidRPr="00FF2978" w:rsidRDefault="00BE059B">
            <w:pPr>
              <w:keepNext/>
              <w:widowControl w:val="0"/>
              <w:spacing w:after="0" w:line="240" w:lineRule="auto"/>
              <w:rPr>
                <w:b/>
                <w:vanish/>
              </w:rPr>
            </w:pPr>
          </w:p>
        </w:tc>
        <w:tc>
          <w:tcPr>
            <w:tcW w:w="1330" w:type="dxa"/>
          </w:tcPr>
          <w:p w14:paraId="32D37CA1" w14:textId="77777777" w:rsidR="00BE059B" w:rsidRPr="00FF2978" w:rsidRDefault="00BE059B">
            <w:pPr>
              <w:keepNext/>
              <w:widowControl w:val="0"/>
              <w:spacing w:after="0" w:line="240" w:lineRule="auto"/>
              <w:rPr>
                <w:b/>
                <w:vanish/>
              </w:rPr>
            </w:pPr>
          </w:p>
        </w:tc>
        <w:tc>
          <w:tcPr>
            <w:tcW w:w="1330" w:type="dxa"/>
          </w:tcPr>
          <w:p w14:paraId="7660FF35" w14:textId="77777777" w:rsidR="00BE059B" w:rsidRPr="00FF2978" w:rsidRDefault="00BE059B">
            <w:pPr>
              <w:keepNext/>
              <w:widowControl w:val="0"/>
              <w:spacing w:after="0" w:line="240" w:lineRule="auto"/>
              <w:rPr>
                <w:b/>
                <w:vanish/>
              </w:rPr>
            </w:pPr>
          </w:p>
        </w:tc>
      </w:tr>
      <w:tr w:rsidR="00EF2F4F" w:rsidRPr="00FF2978" w14:paraId="62736B93" w14:textId="77777777" w:rsidTr="00EF2F4F">
        <w:trPr>
          <w:cantSplit/>
        </w:trPr>
        <w:tc>
          <w:tcPr>
            <w:tcW w:w="1358" w:type="dxa"/>
          </w:tcPr>
          <w:p w14:paraId="5A393D4A" w14:textId="77777777" w:rsidR="00EF2F4F" w:rsidRPr="00FF2978" w:rsidRDefault="00EF2F4F" w:rsidP="00EF2F4F">
            <w:pPr>
              <w:keepNext/>
              <w:widowControl w:val="0"/>
              <w:spacing w:after="0" w:line="240" w:lineRule="auto"/>
              <w:rPr>
                <w:b/>
              </w:rPr>
            </w:pPr>
            <w:r w:rsidRPr="00FF2978">
              <w:t>Number</w:t>
            </w:r>
          </w:p>
        </w:tc>
        <w:tc>
          <w:tcPr>
            <w:tcW w:w="1330" w:type="dxa"/>
          </w:tcPr>
          <w:p w14:paraId="60F117D9" w14:textId="605A0382"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1C2CDA1E" w14:textId="1F5A3FC8"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7FB87528" w14:textId="12D42AD9" w:rsidR="00EF2F4F" w:rsidRPr="00FF2978" w:rsidRDefault="00EF2F4F" w:rsidP="00EF2F4F">
            <w:pPr>
              <w:keepNext/>
              <w:widowControl w:val="0"/>
              <w:spacing w:after="0" w:line="240" w:lineRule="auto"/>
              <w:jc w:val="center"/>
              <w:rPr>
                <w:b/>
              </w:rPr>
            </w:pPr>
            <w:r w:rsidRPr="00FF2978">
              <w:rPr>
                <w:rFonts w:cs="Arial"/>
              </w:rPr>
              <w:t>0</w:t>
            </w:r>
          </w:p>
        </w:tc>
      </w:tr>
      <w:tr w:rsidR="00EF2F4F" w:rsidRPr="00FF2978" w14:paraId="5D65CC37" w14:textId="77777777" w:rsidTr="00EF2F4F">
        <w:trPr>
          <w:cantSplit/>
        </w:trPr>
        <w:tc>
          <w:tcPr>
            <w:tcW w:w="1358" w:type="dxa"/>
          </w:tcPr>
          <w:p w14:paraId="00F2E3E9" w14:textId="77777777" w:rsidR="00EF2F4F" w:rsidRPr="00FF2978" w:rsidRDefault="00EF2F4F" w:rsidP="00EF2F4F">
            <w:pPr>
              <w:keepNext/>
              <w:widowControl w:val="0"/>
              <w:spacing w:after="0" w:line="240" w:lineRule="auto"/>
            </w:pPr>
            <w:r w:rsidRPr="00FF2978">
              <w:t>Dollar Amount</w:t>
            </w:r>
          </w:p>
        </w:tc>
        <w:tc>
          <w:tcPr>
            <w:tcW w:w="1330" w:type="dxa"/>
          </w:tcPr>
          <w:p w14:paraId="011E1EA4" w14:textId="78458DB5"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7B8A2782" w14:textId="644DAC34" w:rsidR="00EF2F4F" w:rsidRPr="00FF2978" w:rsidRDefault="00EF2F4F" w:rsidP="00EF2F4F">
            <w:pPr>
              <w:keepNext/>
              <w:widowControl w:val="0"/>
              <w:spacing w:after="0" w:line="240" w:lineRule="auto"/>
              <w:jc w:val="center"/>
              <w:rPr>
                <w:b/>
              </w:rPr>
            </w:pPr>
            <w:r w:rsidRPr="00FF2978">
              <w:rPr>
                <w:rFonts w:cs="Arial"/>
              </w:rPr>
              <w:t>0</w:t>
            </w:r>
          </w:p>
        </w:tc>
        <w:tc>
          <w:tcPr>
            <w:tcW w:w="1330" w:type="dxa"/>
          </w:tcPr>
          <w:p w14:paraId="7E1A98D3" w14:textId="707C8625" w:rsidR="00EF2F4F" w:rsidRPr="00FF2978" w:rsidRDefault="00EF2F4F" w:rsidP="00EF2F4F">
            <w:pPr>
              <w:keepNext/>
              <w:widowControl w:val="0"/>
              <w:spacing w:after="0" w:line="240" w:lineRule="auto"/>
              <w:jc w:val="center"/>
              <w:rPr>
                <w:b/>
              </w:rPr>
            </w:pPr>
            <w:r w:rsidRPr="00FF2978">
              <w:rPr>
                <w:rFonts w:cs="Arial"/>
              </w:rPr>
              <w:t>0</w:t>
            </w:r>
          </w:p>
        </w:tc>
      </w:tr>
    </w:tbl>
    <w:p w14:paraId="255833AC" w14:textId="377500B5" w:rsidR="00BE059B" w:rsidRPr="00FF2978" w:rsidRDefault="00FB5456">
      <w:pPr>
        <w:pStyle w:val="Caption"/>
        <w:rPr>
          <w:rFonts w:asciiTheme="minorHAnsi" w:hAnsiTheme="minorHAnsi"/>
        </w:rPr>
      </w:pPr>
      <w:r w:rsidRPr="00FF2978">
        <w:rPr>
          <w:rFonts w:asciiTheme="minorHAnsi" w:hAnsiTheme="minorHAnsi"/>
        </w:rPr>
        <w:t xml:space="preserve">Table </w:t>
      </w:r>
      <w:r w:rsidRPr="00FF2978">
        <w:rPr>
          <w:rFonts w:asciiTheme="minorHAnsi" w:hAnsiTheme="minorHAnsi"/>
        </w:rPr>
        <w:fldChar w:fldCharType="begin"/>
      </w:r>
      <w:r w:rsidRPr="00FF2978">
        <w:rPr>
          <w:rFonts w:asciiTheme="minorHAnsi" w:hAnsiTheme="minorHAnsi"/>
        </w:rPr>
        <w:instrText xml:space="preserve"> SEQ Table \* ARABIC </w:instrText>
      </w:r>
      <w:r w:rsidRPr="00FF2978">
        <w:rPr>
          <w:rFonts w:asciiTheme="minorHAnsi" w:hAnsiTheme="minorHAnsi"/>
        </w:rPr>
        <w:fldChar w:fldCharType="separate"/>
      </w:r>
      <w:r w:rsidR="0018186B" w:rsidRPr="00FF2978">
        <w:rPr>
          <w:rFonts w:asciiTheme="minorHAnsi" w:hAnsiTheme="minorHAnsi"/>
          <w:noProof/>
        </w:rPr>
        <w:t>8</w:t>
      </w:r>
      <w:r w:rsidRPr="00FF2978">
        <w:rPr>
          <w:rFonts w:asciiTheme="minorHAnsi" w:hAnsiTheme="minorHAnsi"/>
        </w:rPr>
        <w:fldChar w:fldCharType="end"/>
      </w:r>
      <w:r w:rsidRPr="00FF2978">
        <w:rPr>
          <w:rFonts w:asciiTheme="minorHAnsi" w:hAnsiTheme="minorHAnsi"/>
        </w:rPr>
        <w:t xml:space="preserve"> - Minority Business and Women Business Enterprises</w:t>
      </w:r>
    </w:p>
    <w:p w14:paraId="43C31138" w14:textId="77777777" w:rsidR="00BE059B" w:rsidRPr="00767897" w:rsidRDefault="00BE059B">
      <w:pPr>
        <w:widowControl w:val="0"/>
        <w:spacing w:after="0" w:line="240" w:lineRule="auto"/>
        <w:rPr>
          <w:b/>
          <w:sz w:val="24"/>
          <w:szCs w:val="24"/>
          <w:highlight w:val="yellow"/>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E059B" w:rsidRPr="0067161B" w14:paraId="00DFAE4D" w14:textId="77777777">
        <w:tc>
          <w:tcPr>
            <w:tcW w:w="9576" w:type="dxa"/>
          </w:tcPr>
          <w:p w14:paraId="2D7872FA" w14:textId="77777777" w:rsidR="00BE059B" w:rsidRPr="0067161B" w:rsidRDefault="00FB5456">
            <w:pPr>
              <w:keepNext/>
              <w:widowControl w:val="0"/>
              <w:spacing w:after="0" w:line="240" w:lineRule="auto"/>
              <w:rPr>
                <w:b/>
                <w:szCs w:val="24"/>
              </w:rPr>
            </w:pPr>
            <w:r w:rsidRPr="0067161B">
              <w:rPr>
                <w:b/>
              </w:rPr>
              <w:t xml:space="preserve">Minority Owners of Rental Property </w:t>
            </w:r>
            <w:r w:rsidRPr="0067161B">
              <w:t>– Indicate the number of HOME assisted rental property owners and the total amount of HOME funds in these rental properties assisted</w:t>
            </w:r>
          </w:p>
        </w:tc>
      </w:tr>
    </w:tbl>
    <w:p w14:paraId="202E6C68" w14:textId="77777777" w:rsidR="00BE059B" w:rsidRPr="0067161B" w:rsidRDefault="00BE059B">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BE059B" w:rsidRPr="0067161B" w14:paraId="15036075" w14:textId="77777777" w:rsidTr="00EF2F4F">
        <w:tc>
          <w:tcPr>
            <w:tcW w:w="1374" w:type="dxa"/>
            <w:vMerge w:val="restart"/>
          </w:tcPr>
          <w:p w14:paraId="3001A09C" w14:textId="77777777" w:rsidR="00BE059B" w:rsidRPr="0067161B" w:rsidRDefault="00BE059B">
            <w:pPr>
              <w:keepNext/>
              <w:widowControl w:val="0"/>
              <w:spacing w:after="0" w:line="240" w:lineRule="auto"/>
              <w:jc w:val="center"/>
              <w:rPr>
                <w:b/>
              </w:rPr>
            </w:pPr>
          </w:p>
        </w:tc>
        <w:tc>
          <w:tcPr>
            <w:tcW w:w="793" w:type="dxa"/>
            <w:vMerge w:val="restart"/>
          </w:tcPr>
          <w:p w14:paraId="497B42F2" w14:textId="77777777" w:rsidR="00BE059B" w:rsidRPr="0067161B" w:rsidRDefault="00FB5456">
            <w:pPr>
              <w:keepNext/>
              <w:widowControl w:val="0"/>
              <w:spacing w:after="0" w:line="240" w:lineRule="auto"/>
              <w:jc w:val="center"/>
              <w:rPr>
                <w:b/>
              </w:rPr>
            </w:pPr>
            <w:r w:rsidRPr="0067161B">
              <w:rPr>
                <w:b/>
              </w:rPr>
              <w:t>Total</w:t>
            </w:r>
          </w:p>
        </w:tc>
        <w:tc>
          <w:tcPr>
            <w:tcW w:w="5750" w:type="dxa"/>
            <w:gridSpan w:val="4"/>
          </w:tcPr>
          <w:p w14:paraId="18C41DF0" w14:textId="77777777" w:rsidR="00BE059B" w:rsidRPr="0067161B" w:rsidRDefault="00FB5456">
            <w:pPr>
              <w:keepNext/>
              <w:widowControl w:val="0"/>
              <w:spacing w:after="0" w:line="240" w:lineRule="auto"/>
              <w:jc w:val="center"/>
              <w:rPr>
                <w:b/>
              </w:rPr>
            </w:pPr>
            <w:r w:rsidRPr="0067161B">
              <w:rPr>
                <w:b/>
              </w:rPr>
              <w:t>Minority Property Owners</w:t>
            </w:r>
          </w:p>
        </w:tc>
        <w:tc>
          <w:tcPr>
            <w:tcW w:w="1433" w:type="dxa"/>
            <w:vMerge w:val="restart"/>
          </w:tcPr>
          <w:p w14:paraId="36BD3E14" w14:textId="77777777" w:rsidR="00BE059B" w:rsidRPr="0067161B" w:rsidRDefault="00FB5456">
            <w:pPr>
              <w:keepNext/>
              <w:widowControl w:val="0"/>
              <w:spacing w:after="0" w:line="240" w:lineRule="auto"/>
              <w:jc w:val="center"/>
              <w:rPr>
                <w:b/>
              </w:rPr>
            </w:pPr>
            <w:r w:rsidRPr="0067161B">
              <w:rPr>
                <w:b/>
              </w:rPr>
              <w:t>White Non-Hispanic</w:t>
            </w:r>
          </w:p>
        </w:tc>
      </w:tr>
      <w:tr w:rsidR="00BE059B" w:rsidRPr="0067161B" w14:paraId="095384C5" w14:textId="77777777" w:rsidTr="00EF2F4F">
        <w:tc>
          <w:tcPr>
            <w:tcW w:w="1374" w:type="dxa"/>
            <w:vMerge/>
          </w:tcPr>
          <w:p w14:paraId="3D981E27" w14:textId="77777777" w:rsidR="00BE059B" w:rsidRPr="0067161B" w:rsidRDefault="00BE059B">
            <w:pPr>
              <w:keepNext/>
              <w:widowControl w:val="0"/>
              <w:spacing w:after="0" w:line="240" w:lineRule="auto"/>
              <w:jc w:val="center"/>
              <w:rPr>
                <w:b/>
              </w:rPr>
            </w:pPr>
          </w:p>
        </w:tc>
        <w:tc>
          <w:tcPr>
            <w:tcW w:w="793" w:type="dxa"/>
            <w:vMerge/>
          </w:tcPr>
          <w:p w14:paraId="0FC99A1C" w14:textId="77777777" w:rsidR="00BE059B" w:rsidRPr="0067161B" w:rsidRDefault="00BE059B">
            <w:pPr>
              <w:keepNext/>
              <w:widowControl w:val="0"/>
              <w:spacing w:after="0" w:line="240" w:lineRule="auto"/>
              <w:jc w:val="center"/>
              <w:rPr>
                <w:b/>
              </w:rPr>
            </w:pPr>
          </w:p>
        </w:tc>
        <w:tc>
          <w:tcPr>
            <w:tcW w:w="1486" w:type="dxa"/>
          </w:tcPr>
          <w:p w14:paraId="4429D2C7" w14:textId="77777777" w:rsidR="00BE059B" w:rsidRPr="0067161B" w:rsidRDefault="00FB5456">
            <w:pPr>
              <w:keepNext/>
              <w:widowControl w:val="0"/>
              <w:jc w:val="center"/>
              <w:rPr>
                <w:b/>
              </w:rPr>
            </w:pPr>
            <w:r w:rsidRPr="0067161B">
              <w:rPr>
                <w:b/>
              </w:rPr>
              <w:t>Alaskan Native or American Indian</w:t>
            </w:r>
          </w:p>
        </w:tc>
        <w:tc>
          <w:tcPr>
            <w:tcW w:w="1398" w:type="dxa"/>
          </w:tcPr>
          <w:p w14:paraId="1387F563" w14:textId="77777777" w:rsidR="00BE059B" w:rsidRPr="0067161B" w:rsidRDefault="00FB5456">
            <w:pPr>
              <w:keepNext/>
              <w:widowControl w:val="0"/>
              <w:ind w:right="-28"/>
              <w:jc w:val="center"/>
              <w:rPr>
                <w:b/>
              </w:rPr>
            </w:pPr>
            <w:r w:rsidRPr="0067161B">
              <w:rPr>
                <w:b/>
              </w:rPr>
              <w:t>Asian or Pacific Islander</w:t>
            </w:r>
          </w:p>
        </w:tc>
        <w:tc>
          <w:tcPr>
            <w:tcW w:w="1433" w:type="dxa"/>
          </w:tcPr>
          <w:p w14:paraId="61DD8951" w14:textId="77777777" w:rsidR="00BE059B" w:rsidRPr="0067161B" w:rsidRDefault="00FB5456">
            <w:pPr>
              <w:keepNext/>
              <w:widowControl w:val="0"/>
              <w:jc w:val="center"/>
              <w:rPr>
                <w:b/>
              </w:rPr>
            </w:pPr>
            <w:r w:rsidRPr="0067161B">
              <w:rPr>
                <w:b/>
              </w:rPr>
              <w:t>Black Non-Hispanic</w:t>
            </w:r>
          </w:p>
        </w:tc>
        <w:tc>
          <w:tcPr>
            <w:tcW w:w="1433" w:type="dxa"/>
          </w:tcPr>
          <w:p w14:paraId="0AE9C4AB" w14:textId="77777777" w:rsidR="00BE059B" w:rsidRPr="0067161B" w:rsidRDefault="00FB5456">
            <w:pPr>
              <w:keepNext/>
              <w:widowControl w:val="0"/>
              <w:jc w:val="center"/>
              <w:rPr>
                <w:b/>
              </w:rPr>
            </w:pPr>
            <w:r w:rsidRPr="0067161B">
              <w:rPr>
                <w:b/>
              </w:rPr>
              <w:t>Hispanic</w:t>
            </w:r>
          </w:p>
        </w:tc>
        <w:tc>
          <w:tcPr>
            <w:tcW w:w="1433" w:type="dxa"/>
            <w:vMerge/>
          </w:tcPr>
          <w:p w14:paraId="452A783D" w14:textId="77777777" w:rsidR="00BE059B" w:rsidRPr="0067161B" w:rsidRDefault="00BE059B">
            <w:pPr>
              <w:keepNext/>
              <w:widowControl w:val="0"/>
              <w:spacing w:after="0" w:line="240" w:lineRule="auto"/>
              <w:jc w:val="center"/>
              <w:rPr>
                <w:b/>
              </w:rPr>
            </w:pPr>
          </w:p>
        </w:tc>
      </w:tr>
      <w:tr w:rsidR="00EF2F4F" w:rsidRPr="0067161B" w14:paraId="1801F521" w14:textId="77777777" w:rsidTr="00EF2F4F">
        <w:tc>
          <w:tcPr>
            <w:tcW w:w="1374" w:type="dxa"/>
          </w:tcPr>
          <w:p w14:paraId="64192D6A" w14:textId="77777777" w:rsidR="00EF2F4F" w:rsidRPr="0067161B" w:rsidRDefault="00EF2F4F" w:rsidP="00EF2F4F">
            <w:pPr>
              <w:keepNext/>
              <w:widowControl w:val="0"/>
              <w:spacing w:after="0" w:line="240" w:lineRule="auto"/>
              <w:rPr>
                <w:b/>
              </w:rPr>
            </w:pPr>
            <w:r w:rsidRPr="0067161B">
              <w:t>Number</w:t>
            </w:r>
          </w:p>
        </w:tc>
        <w:tc>
          <w:tcPr>
            <w:tcW w:w="793" w:type="dxa"/>
          </w:tcPr>
          <w:p w14:paraId="34F03006" w14:textId="5FA9D660" w:rsidR="00EF2F4F" w:rsidRPr="0067161B" w:rsidRDefault="00EF2F4F" w:rsidP="00EF2F4F">
            <w:pPr>
              <w:keepNext/>
              <w:widowControl w:val="0"/>
              <w:spacing w:after="0" w:line="240" w:lineRule="auto"/>
              <w:jc w:val="center"/>
              <w:rPr>
                <w:b/>
              </w:rPr>
            </w:pPr>
            <w:r w:rsidRPr="0067161B">
              <w:rPr>
                <w:rFonts w:cs="Arial"/>
              </w:rPr>
              <w:t>0</w:t>
            </w:r>
          </w:p>
        </w:tc>
        <w:tc>
          <w:tcPr>
            <w:tcW w:w="1486" w:type="dxa"/>
          </w:tcPr>
          <w:p w14:paraId="7D6F1AF6" w14:textId="2BEF6641" w:rsidR="00EF2F4F" w:rsidRPr="0067161B" w:rsidRDefault="00EF2F4F" w:rsidP="00EF2F4F">
            <w:pPr>
              <w:keepNext/>
              <w:widowControl w:val="0"/>
              <w:spacing w:after="0" w:line="240" w:lineRule="auto"/>
              <w:jc w:val="center"/>
              <w:rPr>
                <w:b/>
              </w:rPr>
            </w:pPr>
            <w:r w:rsidRPr="0067161B">
              <w:rPr>
                <w:rFonts w:cs="Arial"/>
              </w:rPr>
              <w:t>0</w:t>
            </w:r>
          </w:p>
        </w:tc>
        <w:tc>
          <w:tcPr>
            <w:tcW w:w="1398" w:type="dxa"/>
          </w:tcPr>
          <w:p w14:paraId="2A6A45D5" w14:textId="1F509ADF"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4A05B699" w14:textId="566E221C"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583AEA97" w14:textId="01A4D240"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674688FB" w14:textId="6626D278" w:rsidR="00EF2F4F" w:rsidRPr="0067161B" w:rsidRDefault="00EF2F4F" w:rsidP="00EF2F4F">
            <w:pPr>
              <w:keepNext/>
              <w:widowControl w:val="0"/>
              <w:spacing w:after="0" w:line="240" w:lineRule="auto"/>
              <w:jc w:val="center"/>
              <w:rPr>
                <w:b/>
              </w:rPr>
            </w:pPr>
            <w:r w:rsidRPr="0067161B">
              <w:rPr>
                <w:rFonts w:cs="Arial"/>
              </w:rPr>
              <w:t>0</w:t>
            </w:r>
          </w:p>
        </w:tc>
      </w:tr>
      <w:tr w:rsidR="00EF2F4F" w:rsidRPr="0067161B" w14:paraId="7187F10D" w14:textId="77777777" w:rsidTr="00EF2F4F">
        <w:tc>
          <w:tcPr>
            <w:tcW w:w="1374" w:type="dxa"/>
          </w:tcPr>
          <w:p w14:paraId="1E25B4B4" w14:textId="77777777" w:rsidR="00EF2F4F" w:rsidRPr="0067161B" w:rsidRDefault="00EF2F4F" w:rsidP="00EF2F4F">
            <w:pPr>
              <w:keepNext/>
              <w:widowControl w:val="0"/>
              <w:spacing w:after="0" w:line="240" w:lineRule="auto"/>
            </w:pPr>
            <w:r w:rsidRPr="0067161B">
              <w:t>Dollar Amount</w:t>
            </w:r>
          </w:p>
        </w:tc>
        <w:tc>
          <w:tcPr>
            <w:tcW w:w="793" w:type="dxa"/>
          </w:tcPr>
          <w:p w14:paraId="27921C55" w14:textId="119212FE" w:rsidR="00EF2F4F" w:rsidRPr="0067161B" w:rsidRDefault="00EF2F4F" w:rsidP="00EF2F4F">
            <w:pPr>
              <w:keepNext/>
              <w:widowControl w:val="0"/>
              <w:spacing w:after="0" w:line="240" w:lineRule="auto"/>
              <w:jc w:val="center"/>
              <w:rPr>
                <w:b/>
              </w:rPr>
            </w:pPr>
            <w:r w:rsidRPr="0067161B">
              <w:rPr>
                <w:rFonts w:cs="Arial"/>
              </w:rPr>
              <w:t>0</w:t>
            </w:r>
          </w:p>
        </w:tc>
        <w:tc>
          <w:tcPr>
            <w:tcW w:w="1486" w:type="dxa"/>
          </w:tcPr>
          <w:p w14:paraId="2B55B289" w14:textId="1A328623" w:rsidR="00EF2F4F" w:rsidRPr="0067161B" w:rsidRDefault="00EF2F4F" w:rsidP="00EF2F4F">
            <w:pPr>
              <w:keepNext/>
              <w:widowControl w:val="0"/>
              <w:spacing w:after="0" w:line="240" w:lineRule="auto"/>
              <w:jc w:val="center"/>
              <w:rPr>
                <w:b/>
              </w:rPr>
            </w:pPr>
            <w:r w:rsidRPr="0067161B">
              <w:rPr>
                <w:rFonts w:cs="Arial"/>
              </w:rPr>
              <w:t>0</w:t>
            </w:r>
          </w:p>
        </w:tc>
        <w:tc>
          <w:tcPr>
            <w:tcW w:w="1398" w:type="dxa"/>
          </w:tcPr>
          <w:p w14:paraId="11AEFA74" w14:textId="725232A7"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00CAEEF7" w14:textId="5A1F664F"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043E1D66" w14:textId="2B2283CB" w:rsidR="00EF2F4F" w:rsidRPr="0067161B" w:rsidRDefault="00EF2F4F" w:rsidP="00EF2F4F">
            <w:pPr>
              <w:keepNext/>
              <w:widowControl w:val="0"/>
              <w:spacing w:after="0" w:line="240" w:lineRule="auto"/>
              <w:jc w:val="center"/>
              <w:rPr>
                <w:b/>
              </w:rPr>
            </w:pPr>
            <w:r w:rsidRPr="0067161B">
              <w:rPr>
                <w:rFonts w:cs="Arial"/>
              </w:rPr>
              <w:t>0</w:t>
            </w:r>
          </w:p>
        </w:tc>
        <w:tc>
          <w:tcPr>
            <w:tcW w:w="1433" w:type="dxa"/>
          </w:tcPr>
          <w:p w14:paraId="5DFA9737" w14:textId="7A65351F" w:rsidR="00EF2F4F" w:rsidRPr="0067161B" w:rsidRDefault="00EF2F4F" w:rsidP="00EF2F4F">
            <w:pPr>
              <w:keepNext/>
              <w:widowControl w:val="0"/>
              <w:spacing w:after="0" w:line="240" w:lineRule="auto"/>
              <w:jc w:val="center"/>
              <w:rPr>
                <w:b/>
              </w:rPr>
            </w:pPr>
            <w:r w:rsidRPr="0067161B">
              <w:rPr>
                <w:rFonts w:cs="Arial"/>
              </w:rPr>
              <w:t>0</w:t>
            </w:r>
          </w:p>
        </w:tc>
      </w:tr>
    </w:tbl>
    <w:p w14:paraId="07377909" w14:textId="77777777" w:rsidR="00BE059B" w:rsidRPr="0067161B" w:rsidRDefault="00FB5456">
      <w:pPr>
        <w:pStyle w:val="Caption"/>
        <w:jc w:val="center"/>
        <w:rPr>
          <w:rFonts w:asciiTheme="minorHAnsi" w:hAnsiTheme="minorHAnsi"/>
        </w:rPr>
      </w:pPr>
      <w:r w:rsidRPr="0067161B">
        <w:rPr>
          <w:rFonts w:asciiTheme="minorHAnsi" w:hAnsiTheme="minorHAnsi"/>
        </w:rPr>
        <w:t xml:space="preserve">Table </w:t>
      </w:r>
      <w:r w:rsidRPr="0067161B">
        <w:rPr>
          <w:rFonts w:asciiTheme="minorHAnsi" w:hAnsiTheme="minorHAnsi"/>
        </w:rPr>
        <w:fldChar w:fldCharType="begin"/>
      </w:r>
      <w:r w:rsidRPr="0067161B">
        <w:rPr>
          <w:rFonts w:asciiTheme="minorHAnsi" w:hAnsiTheme="minorHAnsi"/>
        </w:rPr>
        <w:instrText xml:space="preserve"> SEQ Table \* ARABIC </w:instrText>
      </w:r>
      <w:r w:rsidRPr="0067161B">
        <w:rPr>
          <w:rFonts w:asciiTheme="minorHAnsi" w:hAnsiTheme="minorHAnsi"/>
        </w:rPr>
        <w:fldChar w:fldCharType="separate"/>
      </w:r>
      <w:r w:rsidRPr="0067161B">
        <w:rPr>
          <w:rFonts w:asciiTheme="minorHAnsi" w:hAnsiTheme="minorHAnsi"/>
        </w:rPr>
        <w:t>9</w:t>
      </w:r>
      <w:r w:rsidRPr="0067161B">
        <w:rPr>
          <w:rFonts w:asciiTheme="minorHAnsi" w:hAnsiTheme="minorHAnsi"/>
        </w:rPr>
        <w:fldChar w:fldCharType="end"/>
      </w:r>
      <w:r w:rsidRPr="0067161B">
        <w:rPr>
          <w:rFonts w:asciiTheme="minorHAnsi" w:hAnsiTheme="minorHAnsi"/>
        </w:rPr>
        <w:t xml:space="preserve"> – Minority Owners of Rental Property</w:t>
      </w:r>
    </w:p>
    <w:p w14:paraId="762B04BD" w14:textId="77777777" w:rsidR="00BE059B" w:rsidRPr="00767897" w:rsidRDefault="00BE059B">
      <w:pPr>
        <w:widowControl w:val="0"/>
        <w:spacing w:line="204" w:lineRule="auto"/>
        <w:rPr>
          <w:b/>
          <w:sz w:val="24"/>
          <w:szCs w:val="24"/>
          <w:highlight w:val="yellow"/>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E059B" w:rsidRPr="00DC568C" w14:paraId="21647A9E" w14:textId="77777777">
        <w:tc>
          <w:tcPr>
            <w:tcW w:w="13176" w:type="dxa"/>
          </w:tcPr>
          <w:p w14:paraId="6B61C8E2" w14:textId="77777777" w:rsidR="00BE059B" w:rsidRPr="00DC568C" w:rsidRDefault="00FB5456">
            <w:pPr>
              <w:keepNext/>
              <w:widowControl w:val="0"/>
              <w:spacing w:after="0" w:line="240" w:lineRule="auto"/>
              <w:rPr>
                <w:b/>
              </w:rPr>
            </w:pPr>
            <w:r w:rsidRPr="00DC568C">
              <w:rPr>
                <w:b/>
              </w:rPr>
              <w:lastRenderedPageBreak/>
              <w:t xml:space="preserve">Relocation and Real Property Acquisition – </w:t>
            </w:r>
            <w:r w:rsidRPr="00DC568C">
              <w:t>Indicate the number of persons displaced, the cost of relocation payments, the number of parcels acquired, and the cost of acquisition</w:t>
            </w:r>
          </w:p>
        </w:tc>
      </w:tr>
    </w:tbl>
    <w:p w14:paraId="26C0C442" w14:textId="77777777" w:rsidR="00BE059B" w:rsidRPr="00DC568C" w:rsidRDefault="00BE059B">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BE059B" w:rsidRPr="00DC568C" w14:paraId="1961A52F" w14:textId="77777777" w:rsidTr="00EF2F4F">
        <w:trPr>
          <w:cantSplit/>
          <w:hidden/>
        </w:trPr>
        <w:tc>
          <w:tcPr>
            <w:tcW w:w="3081" w:type="dxa"/>
          </w:tcPr>
          <w:p w14:paraId="4C35EF0B" w14:textId="77777777" w:rsidR="00BE059B" w:rsidRPr="00DC568C" w:rsidRDefault="00BE059B">
            <w:pPr>
              <w:keepNext/>
              <w:widowControl w:val="0"/>
              <w:spacing w:after="0" w:line="240" w:lineRule="auto"/>
              <w:rPr>
                <w:b/>
                <w:vanish/>
              </w:rPr>
            </w:pPr>
          </w:p>
        </w:tc>
        <w:tc>
          <w:tcPr>
            <w:tcW w:w="1660" w:type="dxa"/>
          </w:tcPr>
          <w:p w14:paraId="4C205562" w14:textId="77777777" w:rsidR="00BE059B" w:rsidRPr="00DC568C" w:rsidRDefault="00FB5456">
            <w:pPr>
              <w:keepNext/>
              <w:widowControl w:val="0"/>
              <w:spacing w:after="0" w:line="240" w:lineRule="auto"/>
              <w:jc w:val="center"/>
              <w:rPr>
                <w:b/>
                <w:vanish/>
              </w:rPr>
            </w:pPr>
            <w:r w:rsidRPr="00DC568C">
              <w:rPr>
                <w:b/>
                <w:vanish/>
              </w:rPr>
              <w:t>Number</w:t>
            </w:r>
          </w:p>
        </w:tc>
        <w:tc>
          <w:tcPr>
            <w:tcW w:w="1660" w:type="dxa"/>
          </w:tcPr>
          <w:p w14:paraId="0F786905" w14:textId="77777777" w:rsidR="00BE059B" w:rsidRPr="00DC568C" w:rsidRDefault="00FB5456">
            <w:pPr>
              <w:keepNext/>
              <w:widowControl w:val="0"/>
              <w:spacing w:after="0" w:line="240" w:lineRule="auto"/>
              <w:jc w:val="center"/>
              <w:rPr>
                <w:b/>
                <w:vanish/>
              </w:rPr>
            </w:pPr>
            <w:r w:rsidRPr="00DC568C">
              <w:rPr>
                <w:b/>
                <w:vanish/>
              </w:rPr>
              <w:t>Cost</w:t>
            </w:r>
          </w:p>
        </w:tc>
      </w:tr>
      <w:tr w:rsidR="00EF2F4F" w:rsidRPr="00DC568C" w14:paraId="48388465" w14:textId="77777777" w:rsidTr="00EF2F4F">
        <w:trPr>
          <w:cantSplit/>
        </w:trPr>
        <w:tc>
          <w:tcPr>
            <w:tcW w:w="3081" w:type="dxa"/>
          </w:tcPr>
          <w:p w14:paraId="520AB0AC" w14:textId="77777777" w:rsidR="00EF2F4F" w:rsidRPr="00DC568C" w:rsidRDefault="00EF2F4F" w:rsidP="00EF2F4F">
            <w:pPr>
              <w:keepNext/>
              <w:spacing w:after="0" w:line="240" w:lineRule="auto"/>
            </w:pPr>
            <w:r w:rsidRPr="00DC568C">
              <w:t>Parcels Acquired</w:t>
            </w:r>
          </w:p>
        </w:tc>
        <w:tc>
          <w:tcPr>
            <w:tcW w:w="1660" w:type="dxa"/>
          </w:tcPr>
          <w:p w14:paraId="7F28A3F3" w14:textId="5FD69960" w:rsidR="00EF2F4F" w:rsidRPr="00DC568C" w:rsidRDefault="00EF2F4F" w:rsidP="00EF2F4F">
            <w:pPr>
              <w:keepNext/>
              <w:widowControl w:val="0"/>
              <w:spacing w:after="0" w:line="240" w:lineRule="auto"/>
              <w:jc w:val="center"/>
              <w:rPr>
                <w:b/>
                <w:vanish/>
              </w:rPr>
            </w:pPr>
            <w:r w:rsidRPr="00DC568C">
              <w:rPr>
                <w:rFonts w:cs="Arial"/>
              </w:rPr>
              <w:t>0</w:t>
            </w:r>
          </w:p>
        </w:tc>
        <w:tc>
          <w:tcPr>
            <w:tcW w:w="1660" w:type="dxa"/>
          </w:tcPr>
          <w:p w14:paraId="5526AFF1" w14:textId="686935D9" w:rsidR="00EF2F4F" w:rsidRPr="00DC568C" w:rsidRDefault="00EF2F4F" w:rsidP="00EF2F4F">
            <w:pPr>
              <w:keepNext/>
              <w:widowControl w:val="0"/>
              <w:spacing w:after="0" w:line="240" w:lineRule="auto"/>
              <w:jc w:val="center"/>
              <w:rPr>
                <w:b/>
                <w:vanish/>
              </w:rPr>
            </w:pPr>
            <w:r w:rsidRPr="00DC568C">
              <w:rPr>
                <w:rFonts w:cs="Arial"/>
              </w:rPr>
              <w:t>0</w:t>
            </w:r>
          </w:p>
        </w:tc>
      </w:tr>
      <w:tr w:rsidR="00EF2F4F" w:rsidRPr="00DC568C" w14:paraId="226838D2" w14:textId="77777777" w:rsidTr="00EF2F4F">
        <w:trPr>
          <w:cantSplit/>
        </w:trPr>
        <w:tc>
          <w:tcPr>
            <w:tcW w:w="3081" w:type="dxa"/>
          </w:tcPr>
          <w:p w14:paraId="3B3BFA59" w14:textId="77777777" w:rsidR="00EF2F4F" w:rsidRPr="00DC568C" w:rsidRDefault="00EF2F4F" w:rsidP="00EF2F4F">
            <w:pPr>
              <w:keepNext/>
              <w:spacing w:after="0" w:line="240" w:lineRule="auto"/>
            </w:pPr>
            <w:r w:rsidRPr="00DC568C">
              <w:t>Businesses Displaced</w:t>
            </w:r>
          </w:p>
        </w:tc>
        <w:tc>
          <w:tcPr>
            <w:tcW w:w="1660" w:type="dxa"/>
          </w:tcPr>
          <w:p w14:paraId="06FFF224" w14:textId="46C6D1DD" w:rsidR="00EF2F4F" w:rsidRPr="00DC568C" w:rsidRDefault="00EF2F4F" w:rsidP="00EF2F4F">
            <w:pPr>
              <w:keepNext/>
              <w:widowControl w:val="0"/>
              <w:spacing w:after="0" w:line="240" w:lineRule="auto"/>
              <w:jc w:val="center"/>
              <w:rPr>
                <w:b/>
                <w:vanish/>
              </w:rPr>
            </w:pPr>
            <w:r w:rsidRPr="00DC568C">
              <w:rPr>
                <w:rFonts w:cs="Arial"/>
              </w:rPr>
              <w:t>0</w:t>
            </w:r>
          </w:p>
        </w:tc>
        <w:tc>
          <w:tcPr>
            <w:tcW w:w="1660" w:type="dxa"/>
          </w:tcPr>
          <w:p w14:paraId="23F8FF56" w14:textId="2743C3DD" w:rsidR="00EF2F4F" w:rsidRPr="00DC568C" w:rsidRDefault="00EF2F4F" w:rsidP="00EF2F4F">
            <w:pPr>
              <w:keepNext/>
              <w:widowControl w:val="0"/>
              <w:spacing w:after="0" w:line="240" w:lineRule="auto"/>
              <w:jc w:val="center"/>
              <w:rPr>
                <w:b/>
                <w:vanish/>
              </w:rPr>
            </w:pPr>
            <w:r w:rsidRPr="00DC568C">
              <w:rPr>
                <w:rFonts w:cs="Arial"/>
              </w:rPr>
              <w:t>0</w:t>
            </w:r>
          </w:p>
        </w:tc>
      </w:tr>
      <w:tr w:rsidR="00EF2F4F" w:rsidRPr="00DC568C" w14:paraId="2A1A5D7E" w14:textId="77777777" w:rsidTr="00EF2F4F">
        <w:trPr>
          <w:cantSplit/>
        </w:trPr>
        <w:tc>
          <w:tcPr>
            <w:tcW w:w="3081" w:type="dxa"/>
          </w:tcPr>
          <w:p w14:paraId="13589B12" w14:textId="77777777" w:rsidR="00EF2F4F" w:rsidRPr="00DC568C" w:rsidRDefault="00EF2F4F" w:rsidP="00EF2F4F">
            <w:pPr>
              <w:keepNext/>
              <w:spacing w:after="0" w:line="240" w:lineRule="auto"/>
            </w:pPr>
            <w:r w:rsidRPr="00DC568C">
              <w:t>Nonprofit Organizations Displaced</w:t>
            </w:r>
          </w:p>
        </w:tc>
        <w:tc>
          <w:tcPr>
            <w:tcW w:w="1660" w:type="dxa"/>
          </w:tcPr>
          <w:p w14:paraId="4941BFA8" w14:textId="546DF65B" w:rsidR="00EF2F4F" w:rsidRPr="00DC568C" w:rsidRDefault="00EF2F4F" w:rsidP="00EF2F4F">
            <w:pPr>
              <w:keepNext/>
              <w:widowControl w:val="0"/>
              <w:spacing w:after="0" w:line="240" w:lineRule="auto"/>
              <w:jc w:val="center"/>
              <w:rPr>
                <w:b/>
                <w:vanish/>
              </w:rPr>
            </w:pPr>
            <w:r w:rsidRPr="00DC568C">
              <w:rPr>
                <w:rFonts w:cs="Arial"/>
              </w:rPr>
              <w:t>0</w:t>
            </w:r>
          </w:p>
        </w:tc>
        <w:tc>
          <w:tcPr>
            <w:tcW w:w="1660" w:type="dxa"/>
          </w:tcPr>
          <w:p w14:paraId="7A6259C2" w14:textId="6DBDBCB0" w:rsidR="00EF2F4F" w:rsidRPr="00DC568C" w:rsidRDefault="00EF2F4F" w:rsidP="00EF2F4F">
            <w:pPr>
              <w:keepNext/>
              <w:widowControl w:val="0"/>
              <w:spacing w:after="0" w:line="240" w:lineRule="auto"/>
              <w:jc w:val="center"/>
              <w:rPr>
                <w:b/>
                <w:vanish/>
              </w:rPr>
            </w:pPr>
            <w:r w:rsidRPr="00DC568C">
              <w:rPr>
                <w:rFonts w:cs="Arial"/>
              </w:rPr>
              <w:t>0</w:t>
            </w:r>
          </w:p>
        </w:tc>
      </w:tr>
      <w:tr w:rsidR="00EF2F4F" w:rsidRPr="00DC568C" w14:paraId="3A33DBC6" w14:textId="77777777" w:rsidTr="00EF2F4F">
        <w:trPr>
          <w:cantSplit/>
        </w:trPr>
        <w:tc>
          <w:tcPr>
            <w:tcW w:w="3081" w:type="dxa"/>
          </w:tcPr>
          <w:p w14:paraId="5081618C" w14:textId="77777777" w:rsidR="00EF2F4F" w:rsidRPr="00DC568C" w:rsidRDefault="00EF2F4F" w:rsidP="00EF2F4F">
            <w:pPr>
              <w:keepNext/>
              <w:spacing w:after="0" w:line="240" w:lineRule="auto"/>
            </w:pPr>
            <w:r w:rsidRPr="00DC568C">
              <w:t>Households Temporarily Relocated, not Displaced</w:t>
            </w:r>
          </w:p>
        </w:tc>
        <w:tc>
          <w:tcPr>
            <w:tcW w:w="1660" w:type="dxa"/>
          </w:tcPr>
          <w:p w14:paraId="0E88093C" w14:textId="1990F08E" w:rsidR="00EF2F4F" w:rsidRPr="00DC568C" w:rsidRDefault="00EF2F4F" w:rsidP="00EF2F4F">
            <w:pPr>
              <w:keepNext/>
              <w:widowControl w:val="0"/>
              <w:spacing w:after="0" w:line="240" w:lineRule="auto"/>
              <w:jc w:val="center"/>
              <w:rPr>
                <w:b/>
                <w:vanish/>
              </w:rPr>
            </w:pPr>
            <w:r w:rsidRPr="00DC568C">
              <w:rPr>
                <w:rFonts w:cs="Arial"/>
              </w:rPr>
              <w:t>0</w:t>
            </w:r>
          </w:p>
        </w:tc>
        <w:tc>
          <w:tcPr>
            <w:tcW w:w="1660" w:type="dxa"/>
          </w:tcPr>
          <w:p w14:paraId="13D70051" w14:textId="22FCB01D" w:rsidR="00EF2F4F" w:rsidRPr="00DC568C" w:rsidRDefault="00EF2F4F" w:rsidP="00EF2F4F">
            <w:pPr>
              <w:keepNext/>
              <w:widowControl w:val="0"/>
              <w:spacing w:after="0" w:line="240" w:lineRule="auto"/>
              <w:jc w:val="center"/>
              <w:rPr>
                <w:b/>
                <w:vanish/>
              </w:rPr>
            </w:pPr>
            <w:r w:rsidRPr="00DC568C">
              <w:rPr>
                <w:rFonts w:cs="Arial"/>
              </w:rPr>
              <w:t>0</w:t>
            </w:r>
          </w:p>
        </w:tc>
      </w:tr>
    </w:tbl>
    <w:p w14:paraId="7283052E" w14:textId="77777777" w:rsidR="00BE059B" w:rsidRPr="00DC568C" w:rsidRDefault="00BE059B">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BE059B" w:rsidRPr="00DC568C" w14:paraId="7A5F1F3F" w14:textId="77777777" w:rsidTr="00EF2F4F">
        <w:trPr>
          <w:cantSplit/>
        </w:trPr>
        <w:tc>
          <w:tcPr>
            <w:tcW w:w="1533" w:type="dxa"/>
            <w:vMerge w:val="restart"/>
          </w:tcPr>
          <w:p w14:paraId="276AB624" w14:textId="77777777" w:rsidR="00BE059B" w:rsidRPr="00DC568C" w:rsidRDefault="00FB5456">
            <w:pPr>
              <w:keepNext/>
              <w:widowControl w:val="0"/>
              <w:spacing w:after="0" w:line="240" w:lineRule="auto"/>
              <w:jc w:val="center"/>
              <w:rPr>
                <w:b/>
              </w:rPr>
            </w:pPr>
            <w:r w:rsidRPr="00DC568C">
              <w:rPr>
                <w:b/>
              </w:rPr>
              <w:t>Households Displaced</w:t>
            </w:r>
          </w:p>
        </w:tc>
        <w:tc>
          <w:tcPr>
            <w:tcW w:w="784" w:type="dxa"/>
            <w:vMerge w:val="restart"/>
          </w:tcPr>
          <w:p w14:paraId="43DA4371" w14:textId="77777777" w:rsidR="00BE059B" w:rsidRPr="00DC568C" w:rsidRDefault="00FB5456">
            <w:pPr>
              <w:keepNext/>
              <w:widowControl w:val="0"/>
              <w:spacing w:after="0" w:line="240" w:lineRule="auto"/>
              <w:jc w:val="center"/>
              <w:rPr>
                <w:b/>
              </w:rPr>
            </w:pPr>
            <w:r w:rsidRPr="00DC568C">
              <w:rPr>
                <w:b/>
              </w:rPr>
              <w:t>Total</w:t>
            </w:r>
          </w:p>
        </w:tc>
        <w:tc>
          <w:tcPr>
            <w:tcW w:w="5630" w:type="dxa"/>
            <w:gridSpan w:val="4"/>
          </w:tcPr>
          <w:p w14:paraId="275A2104" w14:textId="77777777" w:rsidR="00BE059B" w:rsidRPr="00DC568C" w:rsidRDefault="00FB5456">
            <w:pPr>
              <w:keepNext/>
              <w:widowControl w:val="0"/>
              <w:spacing w:after="0" w:line="240" w:lineRule="auto"/>
              <w:jc w:val="center"/>
              <w:rPr>
                <w:b/>
              </w:rPr>
            </w:pPr>
            <w:r w:rsidRPr="00DC568C">
              <w:rPr>
                <w:b/>
              </w:rPr>
              <w:t>Minority Property Enterprises</w:t>
            </w:r>
          </w:p>
        </w:tc>
        <w:tc>
          <w:tcPr>
            <w:tcW w:w="1403" w:type="dxa"/>
            <w:vMerge w:val="restart"/>
          </w:tcPr>
          <w:p w14:paraId="47B15D8F" w14:textId="77777777" w:rsidR="00BE059B" w:rsidRPr="00DC568C" w:rsidRDefault="00FB5456">
            <w:pPr>
              <w:keepNext/>
              <w:widowControl w:val="0"/>
              <w:spacing w:after="0" w:line="240" w:lineRule="auto"/>
              <w:jc w:val="center"/>
              <w:rPr>
                <w:b/>
              </w:rPr>
            </w:pPr>
            <w:r w:rsidRPr="00DC568C">
              <w:rPr>
                <w:b/>
              </w:rPr>
              <w:t>White Non-Hispanic</w:t>
            </w:r>
          </w:p>
        </w:tc>
      </w:tr>
      <w:tr w:rsidR="00BE059B" w:rsidRPr="00DC568C" w14:paraId="3F56C299" w14:textId="77777777" w:rsidTr="00EF2F4F">
        <w:trPr>
          <w:cantSplit/>
        </w:trPr>
        <w:tc>
          <w:tcPr>
            <w:tcW w:w="1533" w:type="dxa"/>
            <w:vMerge/>
          </w:tcPr>
          <w:p w14:paraId="2E3EAE19" w14:textId="77777777" w:rsidR="00BE059B" w:rsidRPr="00DC568C" w:rsidRDefault="00BE059B">
            <w:pPr>
              <w:keepNext/>
              <w:widowControl w:val="0"/>
              <w:spacing w:after="0" w:line="240" w:lineRule="auto"/>
              <w:jc w:val="center"/>
              <w:rPr>
                <w:b/>
              </w:rPr>
            </w:pPr>
          </w:p>
        </w:tc>
        <w:tc>
          <w:tcPr>
            <w:tcW w:w="784" w:type="dxa"/>
            <w:vMerge/>
          </w:tcPr>
          <w:p w14:paraId="35A9B273" w14:textId="77777777" w:rsidR="00BE059B" w:rsidRPr="00DC568C" w:rsidRDefault="00BE059B">
            <w:pPr>
              <w:keepNext/>
              <w:widowControl w:val="0"/>
              <w:spacing w:after="0" w:line="240" w:lineRule="auto"/>
              <w:jc w:val="center"/>
              <w:rPr>
                <w:b/>
              </w:rPr>
            </w:pPr>
          </w:p>
        </w:tc>
        <w:tc>
          <w:tcPr>
            <w:tcW w:w="1459" w:type="dxa"/>
          </w:tcPr>
          <w:p w14:paraId="4A2FB68D" w14:textId="77777777" w:rsidR="00BE059B" w:rsidRPr="00DC568C" w:rsidRDefault="00FB5456">
            <w:pPr>
              <w:keepNext/>
              <w:widowControl w:val="0"/>
              <w:jc w:val="center"/>
              <w:rPr>
                <w:b/>
              </w:rPr>
            </w:pPr>
            <w:r w:rsidRPr="00DC568C">
              <w:rPr>
                <w:b/>
              </w:rPr>
              <w:t>Alaskan Native or American Indian</w:t>
            </w:r>
          </w:p>
        </w:tc>
        <w:tc>
          <w:tcPr>
            <w:tcW w:w="1366" w:type="dxa"/>
          </w:tcPr>
          <w:p w14:paraId="237B11B9" w14:textId="77777777" w:rsidR="00BE059B" w:rsidRPr="00DC568C" w:rsidRDefault="00FB5456">
            <w:pPr>
              <w:keepNext/>
              <w:widowControl w:val="0"/>
              <w:ind w:right="-28"/>
              <w:jc w:val="center"/>
              <w:rPr>
                <w:b/>
              </w:rPr>
            </w:pPr>
            <w:r w:rsidRPr="00DC568C">
              <w:rPr>
                <w:b/>
              </w:rPr>
              <w:t>Asian or Pacific Islander</w:t>
            </w:r>
          </w:p>
        </w:tc>
        <w:tc>
          <w:tcPr>
            <w:tcW w:w="1403" w:type="dxa"/>
          </w:tcPr>
          <w:p w14:paraId="43639929" w14:textId="77777777" w:rsidR="00BE059B" w:rsidRPr="00DC568C" w:rsidRDefault="00FB5456">
            <w:pPr>
              <w:keepNext/>
              <w:widowControl w:val="0"/>
              <w:jc w:val="center"/>
              <w:rPr>
                <w:b/>
              </w:rPr>
            </w:pPr>
            <w:r w:rsidRPr="00DC568C">
              <w:rPr>
                <w:b/>
              </w:rPr>
              <w:t>Black Non-Hispanic</w:t>
            </w:r>
          </w:p>
        </w:tc>
        <w:tc>
          <w:tcPr>
            <w:tcW w:w="1402" w:type="dxa"/>
          </w:tcPr>
          <w:p w14:paraId="5EF78126" w14:textId="77777777" w:rsidR="00BE059B" w:rsidRPr="00DC568C" w:rsidRDefault="00FB5456">
            <w:pPr>
              <w:keepNext/>
              <w:widowControl w:val="0"/>
              <w:jc w:val="center"/>
              <w:rPr>
                <w:b/>
              </w:rPr>
            </w:pPr>
            <w:r w:rsidRPr="00DC568C">
              <w:rPr>
                <w:b/>
              </w:rPr>
              <w:t>Hispanic</w:t>
            </w:r>
          </w:p>
        </w:tc>
        <w:tc>
          <w:tcPr>
            <w:tcW w:w="1403" w:type="dxa"/>
            <w:vMerge/>
          </w:tcPr>
          <w:p w14:paraId="5822850A" w14:textId="77777777" w:rsidR="00BE059B" w:rsidRPr="00DC568C" w:rsidRDefault="00BE059B">
            <w:pPr>
              <w:keepNext/>
              <w:widowControl w:val="0"/>
              <w:spacing w:after="0" w:line="240" w:lineRule="auto"/>
              <w:jc w:val="center"/>
              <w:rPr>
                <w:b/>
              </w:rPr>
            </w:pPr>
          </w:p>
        </w:tc>
      </w:tr>
      <w:tr w:rsidR="00EF2F4F" w:rsidRPr="00DC568C" w14:paraId="29F8CA39" w14:textId="77777777" w:rsidTr="00EF2F4F">
        <w:trPr>
          <w:cantSplit/>
        </w:trPr>
        <w:tc>
          <w:tcPr>
            <w:tcW w:w="1533" w:type="dxa"/>
          </w:tcPr>
          <w:p w14:paraId="7E744BFC" w14:textId="77777777" w:rsidR="00EF2F4F" w:rsidRPr="00DC568C" w:rsidRDefault="00EF2F4F" w:rsidP="00EF2F4F">
            <w:pPr>
              <w:keepNext/>
              <w:widowControl w:val="0"/>
              <w:spacing w:after="0" w:line="240" w:lineRule="auto"/>
              <w:rPr>
                <w:b/>
              </w:rPr>
            </w:pPr>
            <w:r w:rsidRPr="00DC568C">
              <w:t>Number</w:t>
            </w:r>
          </w:p>
        </w:tc>
        <w:tc>
          <w:tcPr>
            <w:tcW w:w="784" w:type="dxa"/>
          </w:tcPr>
          <w:p w14:paraId="4E93EBAC" w14:textId="04172D76" w:rsidR="00EF2F4F" w:rsidRPr="00DC568C" w:rsidRDefault="00EF2F4F" w:rsidP="00EF2F4F">
            <w:pPr>
              <w:keepNext/>
              <w:widowControl w:val="0"/>
              <w:spacing w:after="0" w:line="240" w:lineRule="auto"/>
              <w:jc w:val="center"/>
              <w:rPr>
                <w:b/>
              </w:rPr>
            </w:pPr>
            <w:r w:rsidRPr="00DC568C">
              <w:rPr>
                <w:rFonts w:cs="Arial"/>
              </w:rPr>
              <w:t>0</w:t>
            </w:r>
          </w:p>
        </w:tc>
        <w:tc>
          <w:tcPr>
            <w:tcW w:w="1459" w:type="dxa"/>
          </w:tcPr>
          <w:p w14:paraId="1BC4F955" w14:textId="5EE11C35" w:rsidR="00EF2F4F" w:rsidRPr="00DC568C" w:rsidRDefault="00EF2F4F" w:rsidP="00EF2F4F">
            <w:pPr>
              <w:keepNext/>
              <w:widowControl w:val="0"/>
              <w:spacing w:after="0" w:line="240" w:lineRule="auto"/>
              <w:jc w:val="center"/>
              <w:rPr>
                <w:b/>
              </w:rPr>
            </w:pPr>
            <w:r w:rsidRPr="00DC568C">
              <w:rPr>
                <w:rFonts w:cs="Arial"/>
              </w:rPr>
              <w:t>0</w:t>
            </w:r>
          </w:p>
        </w:tc>
        <w:tc>
          <w:tcPr>
            <w:tcW w:w="1366" w:type="dxa"/>
          </w:tcPr>
          <w:p w14:paraId="6E9DEF2B" w14:textId="1C42245C" w:rsidR="00EF2F4F" w:rsidRPr="00DC568C" w:rsidRDefault="00EF2F4F" w:rsidP="00EF2F4F">
            <w:pPr>
              <w:keepNext/>
              <w:widowControl w:val="0"/>
              <w:spacing w:after="0" w:line="240" w:lineRule="auto"/>
              <w:jc w:val="center"/>
              <w:rPr>
                <w:b/>
              </w:rPr>
            </w:pPr>
            <w:r w:rsidRPr="00DC568C">
              <w:rPr>
                <w:rFonts w:cs="Arial"/>
              </w:rPr>
              <w:t>0</w:t>
            </w:r>
          </w:p>
        </w:tc>
        <w:tc>
          <w:tcPr>
            <w:tcW w:w="1403" w:type="dxa"/>
          </w:tcPr>
          <w:p w14:paraId="3BED34CA" w14:textId="437C106F" w:rsidR="00EF2F4F" w:rsidRPr="00DC568C" w:rsidRDefault="00EF2F4F" w:rsidP="00EF2F4F">
            <w:pPr>
              <w:keepNext/>
              <w:widowControl w:val="0"/>
              <w:spacing w:after="0" w:line="240" w:lineRule="auto"/>
              <w:jc w:val="center"/>
              <w:rPr>
                <w:b/>
              </w:rPr>
            </w:pPr>
            <w:r w:rsidRPr="00DC568C">
              <w:rPr>
                <w:rFonts w:cs="Arial"/>
              </w:rPr>
              <w:t>0</w:t>
            </w:r>
          </w:p>
        </w:tc>
        <w:tc>
          <w:tcPr>
            <w:tcW w:w="1402" w:type="dxa"/>
          </w:tcPr>
          <w:p w14:paraId="160F0014" w14:textId="57980DE1" w:rsidR="00EF2F4F" w:rsidRPr="00DC568C" w:rsidRDefault="00EF2F4F" w:rsidP="00EF2F4F">
            <w:pPr>
              <w:keepNext/>
              <w:widowControl w:val="0"/>
              <w:spacing w:after="0" w:line="240" w:lineRule="auto"/>
              <w:jc w:val="center"/>
              <w:rPr>
                <w:b/>
              </w:rPr>
            </w:pPr>
            <w:r w:rsidRPr="00DC568C">
              <w:rPr>
                <w:rFonts w:cs="Arial"/>
              </w:rPr>
              <w:t>0</w:t>
            </w:r>
          </w:p>
        </w:tc>
        <w:tc>
          <w:tcPr>
            <w:tcW w:w="1403" w:type="dxa"/>
          </w:tcPr>
          <w:p w14:paraId="5882B8CF" w14:textId="21CDC793" w:rsidR="00EF2F4F" w:rsidRPr="00DC568C" w:rsidRDefault="00EF2F4F" w:rsidP="00EF2F4F">
            <w:pPr>
              <w:keepNext/>
              <w:widowControl w:val="0"/>
              <w:spacing w:after="0" w:line="240" w:lineRule="auto"/>
              <w:jc w:val="center"/>
              <w:rPr>
                <w:b/>
              </w:rPr>
            </w:pPr>
            <w:r w:rsidRPr="00DC568C">
              <w:rPr>
                <w:rFonts w:cs="Arial"/>
              </w:rPr>
              <w:t>0</w:t>
            </w:r>
          </w:p>
        </w:tc>
      </w:tr>
      <w:tr w:rsidR="00EF2F4F" w:rsidRPr="00DC568C" w14:paraId="3FD2F1E4" w14:textId="77777777" w:rsidTr="00EF2F4F">
        <w:trPr>
          <w:cantSplit/>
        </w:trPr>
        <w:tc>
          <w:tcPr>
            <w:tcW w:w="1533" w:type="dxa"/>
          </w:tcPr>
          <w:p w14:paraId="4872AB32" w14:textId="77777777" w:rsidR="00EF2F4F" w:rsidRPr="00DC568C" w:rsidRDefault="00EF2F4F" w:rsidP="00EF2F4F">
            <w:pPr>
              <w:keepNext/>
              <w:widowControl w:val="0"/>
              <w:spacing w:after="0" w:line="240" w:lineRule="auto"/>
            </w:pPr>
            <w:r w:rsidRPr="00DC568C">
              <w:t>Cost</w:t>
            </w:r>
          </w:p>
        </w:tc>
        <w:tc>
          <w:tcPr>
            <w:tcW w:w="784" w:type="dxa"/>
          </w:tcPr>
          <w:p w14:paraId="721E89BC" w14:textId="0837C72F" w:rsidR="00EF2F4F" w:rsidRPr="00DC568C" w:rsidRDefault="00EF2F4F" w:rsidP="00EF2F4F">
            <w:pPr>
              <w:keepNext/>
              <w:widowControl w:val="0"/>
              <w:spacing w:after="0" w:line="240" w:lineRule="auto"/>
              <w:jc w:val="center"/>
              <w:rPr>
                <w:b/>
              </w:rPr>
            </w:pPr>
            <w:r w:rsidRPr="00DC568C">
              <w:rPr>
                <w:rFonts w:cs="Arial"/>
              </w:rPr>
              <w:t>0</w:t>
            </w:r>
          </w:p>
        </w:tc>
        <w:tc>
          <w:tcPr>
            <w:tcW w:w="1459" w:type="dxa"/>
          </w:tcPr>
          <w:p w14:paraId="1896D2B5" w14:textId="7D03F7B0" w:rsidR="00EF2F4F" w:rsidRPr="00DC568C" w:rsidRDefault="00EF2F4F" w:rsidP="00EF2F4F">
            <w:pPr>
              <w:keepNext/>
              <w:widowControl w:val="0"/>
              <w:spacing w:after="0" w:line="240" w:lineRule="auto"/>
              <w:jc w:val="center"/>
              <w:rPr>
                <w:b/>
              </w:rPr>
            </w:pPr>
            <w:r w:rsidRPr="00DC568C">
              <w:rPr>
                <w:rFonts w:cs="Arial"/>
              </w:rPr>
              <w:t>0</w:t>
            </w:r>
          </w:p>
        </w:tc>
        <w:tc>
          <w:tcPr>
            <w:tcW w:w="1366" w:type="dxa"/>
          </w:tcPr>
          <w:p w14:paraId="6D1E2253" w14:textId="307995FE" w:rsidR="00EF2F4F" w:rsidRPr="00DC568C" w:rsidRDefault="00EF2F4F" w:rsidP="00EF2F4F">
            <w:pPr>
              <w:keepNext/>
              <w:widowControl w:val="0"/>
              <w:spacing w:after="0" w:line="240" w:lineRule="auto"/>
              <w:jc w:val="center"/>
              <w:rPr>
                <w:b/>
              </w:rPr>
            </w:pPr>
            <w:r w:rsidRPr="00DC568C">
              <w:rPr>
                <w:rFonts w:cs="Arial"/>
              </w:rPr>
              <w:t>0</w:t>
            </w:r>
          </w:p>
        </w:tc>
        <w:tc>
          <w:tcPr>
            <w:tcW w:w="1403" w:type="dxa"/>
          </w:tcPr>
          <w:p w14:paraId="3817A950" w14:textId="098F4007" w:rsidR="00EF2F4F" w:rsidRPr="00DC568C" w:rsidRDefault="00EF2F4F" w:rsidP="00EF2F4F">
            <w:pPr>
              <w:keepNext/>
              <w:widowControl w:val="0"/>
              <w:spacing w:after="0" w:line="240" w:lineRule="auto"/>
              <w:jc w:val="center"/>
              <w:rPr>
                <w:b/>
              </w:rPr>
            </w:pPr>
            <w:r w:rsidRPr="00DC568C">
              <w:rPr>
                <w:rFonts w:cs="Arial"/>
              </w:rPr>
              <w:t>0</w:t>
            </w:r>
          </w:p>
        </w:tc>
        <w:tc>
          <w:tcPr>
            <w:tcW w:w="1402" w:type="dxa"/>
          </w:tcPr>
          <w:p w14:paraId="7EC72FE9" w14:textId="7F59598F" w:rsidR="00EF2F4F" w:rsidRPr="00DC568C" w:rsidRDefault="00EF2F4F" w:rsidP="00EF2F4F">
            <w:pPr>
              <w:keepNext/>
              <w:widowControl w:val="0"/>
              <w:spacing w:after="0" w:line="240" w:lineRule="auto"/>
              <w:jc w:val="center"/>
              <w:rPr>
                <w:b/>
              </w:rPr>
            </w:pPr>
            <w:r w:rsidRPr="00DC568C">
              <w:rPr>
                <w:rFonts w:cs="Arial"/>
              </w:rPr>
              <w:t>0</w:t>
            </w:r>
          </w:p>
        </w:tc>
        <w:tc>
          <w:tcPr>
            <w:tcW w:w="1403" w:type="dxa"/>
          </w:tcPr>
          <w:p w14:paraId="3A85F348" w14:textId="6E6E195B" w:rsidR="00EF2F4F" w:rsidRPr="00DC568C" w:rsidRDefault="00EF2F4F" w:rsidP="00EF2F4F">
            <w:pPr>
              <w:keepNext/>
              <w:widowControl w:val="0"/>
              <w:spacing w:after="0" w:line="240" w:lineRule="auto"/>
              <w:jc w:val="center"/>
              <w:rPr>
                <w:b/>
              </w:rPr>
            </w:pPr>
            <w:r w:rsidRPr="00DC568C">
              <w:rPr>
                <w:rFonts w:cs="Arial"/>
              </w:rPr>
              <w:t>0</w:t>
            </w:r>
          </w:p>
        </w:tc>
      </w:tr>
    </w:tbl>
    <w:p w14:paraId="1A967E6A" w14:textId="77777777" w:rsidR="00BE059B" w:rsidRPr="00DC568C" w:rsidRDefault="00FB5456">
      <w:pPr>
        <w:pStyle w:val="Caption"/>
        <w:jc w:val="center"/>
        <w:rPr>
          <w:rFonts w:asciiTheme="minorHAnsi" w:hAnsiTheme="minorHAnsi"/>
        </w:rPr>
      </w:pPr>
      <w:r w:rsidRPr="00DC568C">
        <w:rPr>
          <w:rFonts w:asciiTheme="minorHAnsi" w:hAnsiTheme="minorHAnsi"/>
        </w:rPr>
        <w:t xml:space="preserve">Table </w:t>
      </w:r>
      <w:r w:rsidRPr="00DC568C">
        <w:rPr>
          <w:rFonts w:asciiTheme="minorHAnsi" w:hAnsiTheme="minorHAnsi"/>
        </w:rPr>
        <w:fldChar w:fldCharType="begin"/>
      </w:r>
      <w:r w:rsidRPr="00DC568C">
        <w:rPr>
          <w:rFonts w:asciiTheme="minorHAnsi" w:hAnsiTheme="minorHAnsi"/>
        </w:rPr>
        <w:instrText xml:space="preserve"> SEQ Table \* ARABIC </w:instrText>
      </w:r>
      <w:r w:rsidRPr="00DC568C">
        <w:rPr>
          <w:rFonts w:asciiTheme="minorHAnsi" w:hAnsiTheme="minorHAnsi"/>
        </w:rPr>
        <w:fldChar w:fldCharType="separate"/>
      </w:r>
      <w:r w:rsidRPr="00DC568C">
        <w:rPr>
          <w:rFonts w:asciiTheme="minorHAnsi" w:hAnsiTheme="minorHAnsi"/>
        </w:rPr>
        <w:t>10</w:t>
      </w:r>
      <w:r w:rsidRPr="00DC568C">
        <w:rPr>
          <w:rFonts w:asciiTheme="minorHAnsi" w:hAnsiTheme="minorHAnsi"/>
        </w:rPr>
        <w:fldChar w:fldCharType="end"/>
      </w:r>
      <w:r w:rsidRPr="00DC568C">
        <w:rPr>
          <w:rFonts w:asciiTheme="minorHAnsi" w:hAnsiTheme="minorHAnsi"/>
        </w:rPr>
        <w:t xml:space="preserve"> – Relocation and Real Property Acquisition</w:t>
      </w:r>
    </w:p>
    <w:p w14:paraId="1A7C6008" w14:textId="77777777" w:rsidR="00BE059B" w:rsidRPr="00767897" w:rsidRDefault="00BE059B">
      <w:pPr>
        <w:spacing w:after="0" w:line="240" w:lineRule="auto"/>
        <w:rPr>
          <w:b/>
          <w:highlight w:val="yellow"/>
        </w:rPr>
      </w:pPr>
    </w:p>
    <w:p w14:paraId="307CDD3D" w14:textId="77777777" w:rsidR="00BE059B" w:rsidRPr="00767897" w:rsidRDefault="00BE059B">
      <w:pPr>
        <w:spacing w:after="0" w:line="240" w:lineRule="auto"/>
        <w:rPr>
          <w:b/>
          <w:highlight w:val="yellow"/>
        </w:rPr>
      </w:pPr>
    </w:p>
    <w:p w14:paraId="414027D4" w14:textId="77777777" w:rsidR="00BE059B" w:rsidRPr="00767897" w:rsidRDefault="00BE059B">
      <w:pPr>
        <w:widowControl w:val="0"/>
        <w:spacing w:after="0" w:line="240" w:lineRule="auto"/>
        <w:rPr>
          <w:sz w:val="24"/>
          <w:szCs w:val="24"/>
          <w:highlight w:val="yellow"/>
        </w:rPr>
      </w:pPr>
    </w:p>
    <w:p w14:paraId="5544D278" w14:textId="77777777" w:rsidR="00BE059B" w:rsidRPr="00767897" w:rsidRDefault="00BE059B">
      <w:pPr>
        <w:spacing w:after="0" w:line="240" w:lineRule="auto"/>
        <w:rPr>
          <w:highlight w:val="yellow"/>
        </w:rPr>
      </w:pPr>
      <w:bookmarkStart w:id="5" w:name="_Toc309810475"/>
    </w:p>
    <w:p w14:paraId="4C4B395C" w14:textId="77777777" w:rsidR="00BE059B" w:rsidRPr="00767897" w:rsidRDefault="00BE059B">
      <w:pPr>
        <w:rPr>
          <w:highlight w:val="yellow"/>
        </w:rPr>
        <w:sectPr w:rsidR="00BE059B" w:rsidRPr="00767897" w:rsidSect="00A23BD2">
          <w:pgSz w:w="12240" w:h="15840" w:code="1"/>
          <w:pgMar w:top="1440" w:right="1440" w:bottom="1440" w:left="1440" w:header="720" w:footer="720" w:gutter="0"/>
          <w:cols w:space="720"/>
          <w:docGrid w:linePitch="360"/>
        </w:sectPr>
      </w:pPr>
    </w:p>
    <w:p w14:paraId="7CE44A3F" w14:textId="77777777" w:rsidR="00BE059B" w:rsidRPr="004D1D15" w:rsidRDefault="00FB5456">
      <w:pPr>
        <w:pStyle w:val="Heading2"/>
        <w:rPr>
          <w:rFonts w:ascii="Calibri" w:hAnsi="Calibri"/>
          <w:i w:val="0"/>
        </w:rPr>
      </w:pPr>
      <w:bookmarkStart w:id="6" w:name="_Toc142647849"/>
      <w:r w:rsidRPr="004D1D15">
        <w:rPr>
          <w:rFonts w:ascii="Calibri" w:hAnsi="Calibri"/>
          <w:i w:val="0"/>
        </w:rPr>
        <w:lastRenderedPageBreak/>
        <w:t>CR-20 - Affordable Housing 91.520(b)</w:t>
      </w:r>
      <w:bookmarkEnd w:id="6"/>
    </w:p>
    <w:p w14:paraId="5D014C32" w14:textId="77777777" w:rsidR="00BE059B" w:rsidRPr="004D1D15" w:rsidRDefault="00FB5456">
      <w:pPr>
        <w:keepNext/>
        <w:widowControl w:val="0"/>
        <w:spacing w:after="0" w:line="240" w:lineRule="auto"/>
        <w:rPr>
          <w:b/>
          <w:sz w:val="24"/>
          <w:szCs w:val="24"/>
        </w:rPr>
      </w:pPr>
      <w:r w:rsidRPr="004D1D15">
        <w:rPr>
          <w:b/>
          <w:sz w:val="24"/>
          <w:szCs w:val="24"/>
        </w:rPr>
        <w:t>Evaluation of the jurisdiction's progress in providing affordable housing, including the number and types of families served, the number of extremely low-income, low-income, moderate-income, and middle-income persons served.</w:t>
      </w:r>
    </w:p>
    <w:p w14:paraId="15D4F701" w14:textId="77777777" w:rsidR="00BE059B" w:rsidRPr="004D1D15" w:rsidRDefault="00BE059B">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E059B" w:rsidRPr="004D1D15" w14:paraId="431D9146" w14:textId="77777777">
        <w:trPr>
          <w:cantSplit/>
          <w:tblHeader/>
        </w:trPr>
        <w:tc>
          <w:tcPr>
            <w:tcW w:w="4293" w:type="dxa"/>
          </w:tcPr>
          <w:p w14:paraId="261496DD" w14:textId="77777777" w:rsidR="00BE059B" w:rsidRPr="004D1D15" w:rsidRDefault="00BE059B">
            <w:pPr>
              <w:pStyle w:val="Caption"/>
              <w:keepNext/>
              <w:widowControl w:val="0"/>
              <w:jc w:val="center"/>
              <w:rPr>
                <w:rFonts w:ascii="Calibri" w:hAnsi="Calibri"/>
                <w:sz w:val="22"/>
                <w:szCs w:val="22"/>
              </w:rPr>
            </w:pPr>
          </w:p>
        </w:tc>
        <w:tc>
          <w:tcPr>
            <w:tcW w:w="2648" w:type="dxa"/>
          </w:tcPr>
          <w:p w14:paraId="7EEC6A48" w14:textId="77777777" w:rsidR="00BE059B" w:rsidRPr="004D1D15" w:rsidRDefault="00FB5456">
            <w:pPr>
              <w:pStyle w:val="Caption"/>
              <w:keepNext/>
              <w:widowControl w:val="0"/>
              <w:jc w:val="center"/>
              <w:rPr>
                <w:rFonts w:ascii="Calibri" w:hAnsi="Calibri"/>
                <w:sz w:val="22"/>
                <w:szCs w:val="22"/>
              </w:rPr>
            </w:pPr>
            <w:r w:rsidRPr="004D1D15">
              <w:rPr>
                <w:rFonts w:ascii="Calibri" w:hAnsi="Calibri"/>
                <w:sz w:val="22"/>
                <w:szCs w:val="22"/>
              </w:rPr>
              <w:t>One-Year Goal</w:t>
            </w:r>
          </w:p>
        </w:tc>
        <w:tc>
          <w:tcPr>
            <w:tcW w:w="2649" w:type="dxa"/>
          </w:tcPr>
          <w:p w14:paraId="4EB64FBB" w14:textId="77777777" w:rsidR="00BE059B" w:rsidRPr="004D1D15" w:rsidRDefault="00FB5456">
            <w:pPr>
              <w:pStyle w:val="Caption"/>
              <w:keepNext/>
              <w:widowControl w:val="0"/>
              <w:jc w:val="center"/>
              <w:rPr>
                <w:rFonts w:ascii="Calibri" w:hAnsi="Calibri"/>
                <w:sz w:val="22"/>
                <w:szCs w:val="22"/>
              </w:rPr>
            </w:pPr>
            <w:r w:rsidRPr="004D1D15">
              <w:rPr>
                <w:rFonts w:ascii="Calibri" w:hAnsi="Calibri"/>
                <w:sz w:val="22"/>
                <w:szCs w:val="22"/>
              </w:rPr>
              <w:t>Actual</w:t>
            </w:r>
          </w:p>
        </w:tc>
      </w:tr>
      <w:tr w:rsidR="00BE059B" w:rsidRPr="004D1D15" w14:paraId="18B5F8F8" w14:textId="77777777">
        <w:trPr>
          <w:cantSplit/>
        </w:trPr>
        <w:tc>
          <w:tcPr>
            <w:tcW w:w="4293" w:type="dxa"/>
            <w:vAlign w:val="bottom"/>
          </w:tcPr>
          <w:p w14:paraId="605B0A30" w14:textId="77777777" w:rsidR="00BE059B" w:rsidRPr="004D1D15" w:rsidRDefault="00FB5456">
            <w:pPr>
              <w:spacing w:beforeAutospacing="1" w:afterAutospacing="1"/>
            </w:pPr>
            <w:r w:rsidRPr="004D1D15">
              <w:rPr>
                <w:color w:val="000000"/>
              </w:rPr>
              <w:t>Number of Homeless households to be provided affordable housing units</w:t>
            </w:r>
          </w:p>
        </w:tc>
        <w:tc>
          <w:tcPr>
            <w:tcW w:w="2648" w:type="dxa"/>
            <w:vAlign w:val="bottom"/>
          </w:tcPr>
          <w:p w14:paraId="1FA2B286" w14:textId="77777777" w:rsidR="00BE059B" w:rsidRPr="004D1D15" w:rsidRDefault="00FB5456" w:rsidP="00EF2F4F">
            <w:pPr>
              <w:spacing w:beforeAutospacing="1" w:afterAutospacing="1"/>
              <w:jc w:val="center"/>
            </w:pPr>
            <w:r w:rsidRPr="004D1D15">
              <w:rPr>
                <w:color w:val="000000"/>
              </w:rPr>
              <w:t>0</w:t>
            </w:r>
          </w:p>
        </w:tc>
        <w:tc>
          <w:tcPr>
            <w:tcW w:w="2649" w:type="dxa"/>
            <w:vAlign w:val="bottom"/>
          </w:tcPr>
          <w:p w14:paraId="3FA7856A" w14:textId="77777777" w:rsidR="00BE059B" w:rsidRPr="004D1D15" w:rsidRDefault="00FB5456" w:rsidP="00EF2F4F">
            <w:pPr>
              <w:spacing w:beforeAutospacing="1" w:afterAutospacing="1"/>
              <w:jc w:val="center"/>
            </w:pPr>
            <w:r w:rsidRPr="004D1D15">
              <w:rPr>
                <w:color w:val="000000"/>
              </w:rPr>
              <w:t>0</w:t>
            </w:r>
          </w:p>
        </w:tc>
      </w:tr>
      <w:tr w:rsidR="00BE059B" w:rsidRPr="004D1D15" w14:paraId="310F2EFE" w14:textId="77777777">
        <w:trPr>
          <w:cantSplit/>
        </w:trPr>
        <w:tc>
          <w:tcPr>
            <w:tcW w:w="4293" w:type="dxa"/>
            <w:vAlign w:val="bottom"/>
          </w:tcPr>
          <w:p w14:paraId="181D042F" w14:textId="77777777" w:rsidR="00BE059B" w:rsidRPr="004D1D15" w:rsidRDefault="00FB5456">
            <w:pPr>
              <w:spacing w:beforeAutospacing="1" w:afterAutospacing="1"/>
            </w:pPr>
            <w:r w:rsidRPr="004D1D15">
              <w:rPr>
                <w:color w:val="000000"/>
              </w:rPr>
              <w:t>Number of Non-Homeless households to be provided affordable housing units</w:t>
            </w:r>
          </w:p>
        </w:tc>
        <w:tc>
          <w:tcPr>
            <w:tcW w:w="2648" w:type="dxa"/>
            <w:vAlign w:val="bottom"/>
          </w:tcPr>
          <w:p w14:paraId="2C363A7E" w14:textId="647CEDDC" w:rsidR="00BE059B" w:rsidRPr="004D1D15" w:rsidRDefault="004D1D15" w:rsidP="00EF2F4F">
            <w:pPr>
              <w:spacing w:beforeAutospacing="1" w:afterAutospacing="1"/>
              <w:jc w:val="center"/>
            </w:pPr>
            <w:r w:rsidRPr="004D1D15">
              <w:rPr>
                <w:color w:val="000000"/>
              </w:rPr>
              <w:t>4</w:t>
            </w:r>
          </w:p>
        </w:tc>
        <w:tc>
          <w:tcPr>
            <w:tcW w:w="2649" w:type="dxa"/>
            <w:vAlign w:val="bottom"/>
          </w:tcPr>
          <w:p w14:paraId="376ECF30" w14:textId="77777777" w:rsidR="00BE059B" w:rsidRPr="004D1D15" w:rsidRDefault="00FB5456" w:rsidP="00EF2F4F">
            <w:pPr>
              <w:spacing w:beforeAutospacing="1" w:afterAutospacing="1"/>
              <w:jc w:val="center"/>
            </w:pPr>
            <w:r w:rsidRPr="004D1D15">
              <w:rPr>
                <w:color w:val="000000"/>
              </w:rPr>
              <w:t>0</w:t>
            </w:r>
          </w:p>
        </w:tc>
      </w:tr>
      <w:tr w:rsidR="00BE059B" w:rsidRPr="004D1D15" w14:paraId="1C091864" w14:textId="77777777">
        <w:trPr>
          <w:cantSplit/>
        </w:trPr>
        <w:tc>
          <w:tcPr>
            <w:tcW w:w="4293" w:type="dxa"/>
            <w:vAlign w:val="bottom"/>
          </w:tcPr>
          <w:p w14:paraId="2E8A95D9" w14:textId="77777777" w:rsidR="00BE059B" w:rsidRPr="004D1D15" w:rsidRDefault="00FB5456">
            <w:pPr>
              <w:spacing w:beforeAutospacing="1" w:afterAutospacing="1"/>
            </w:pPr>
            <w:r w:rsidRPr="004D1D15">
              <w:rPr>
                <w:color w:val="000000"/>
              </w:rPr>
              <w:t>Number of Special-Needs households to be provided affordable housing units</w:t>
            </w:r>
          </w:p>
        </w:tc>
        <w:tc>
          <w:tcPr>
            <w:tcW w:w="2648" w:type="dxa"/>
            <w:vAlign w:val="bottom"/>
          </w:tcPr>
          <w:p w14:paraId="15A37BED" w14:textId="77777777" w:rsidR="00BE059B" w:rsidRPr="004D1D15" w:rsidRDefault="00FB5456" w:rsidP="00EF2F4F">
            <w:pPr>
              <w:spacing w:beforeAutospacing="1" w:afterAutospacing="1"/>
              <w:jc w:val="center"/>
            </w:pPr>
            <w:r w:rsidRPr="004D1D15">
              <w:rPr>
                <w:color w:val="000000"/>
              </w:rPr>
              <w:t>0</w:t>
            </w:r>
          </w:p>
        </w:tc>
        <w:tc>
          <w:tcPr>
            <w:tcW w:w="2649" w:type="dxa"/>
            <w:vAlign w:val="bottom"/>
          </w:tcPr>
          <w:p w14:paraId="3BD601A0" w14:textId="77777777" w:rsidR="00BE059B" w:rsidRPr="004D1D15" w:rsidRDefault="00FB5456" w:rsidP="00EF2F4F">
            <w:pPr>
              <w:spacing w:beforeAutospacing="1" w:afterAutospacing="1"/>
              <w:jc w:val="center"/>
            </w:pPr>
            <w:r w:rsidRPr="004D1D15">
              <w:rPr>
                <w:color w:val="000000"/>
              </w:rPr>
              <w:t>0</w:t>
            </w:r>
          </w:p>
        </w:tc>
      </w:tr>
      <w:tr w:rsidR="00BE059B" w:rsidRPr="004D1D15" w14:paraId="7AD4B851" w14:textId="77777777">
        <w:trPr>
          <w:cantSplit/>
        </w:trPr>
        <w:tc>
          <w:tcPr>
            <w:tcW w:w="4293" w:type="dxa"/>
          </w:tcPr>
          <w:p w14:paraId="23F96FD3" w14:textId="77777777" w:rsidR="00BE059B" w:rsidRPr="004D1D15" w:rsidRDefault="00FB5456">
            <w:pPr>
              <w:spacing w:beforeAutospacing="1" w:afterAutospacing="1"/>
            </w:pPr>
            <w:r w:rsidRPr="004D1D15">
              <w:rPr>
                <w:b/>
                <w:color w:val="000000"/>
              </w:rPr>
              <w:t>Total</w:t>
            </w:r>
          </w:p>
        </w:tc>
        <w:tc>
          <w:tcPr>
            <w:tcW w:w="2648" w:type="dxa"/>
            <w:vAlign w:val="bottom"/>
          </w:tcPr>
          <w:p w14:paraId="3343ADAC" w14:textId="68E516AA" w:rsidR="00BE059B" w:rsidRPr="004D1D15" w:rsidRDefault="004D1D15" w:rsidP="00EF2F4F">
            <w:pPr>
              <w:spacing w:beforeAutospacing="1" w:afterAutospacing="1"/>
              <w:jc w:val="center"/>
            </w:pPr>
            <w:r w:rsidRPr="004D1D15">
              <w:rPr>
                <w:b/>
                <w:color w:val="000000"/>
              </w:rPr>
              <w:t>4</w:t>
            </w:r>
          </w:p>
        </w:tc>
        <w:tc>
          <w:tcPr>
            <w:tcW w:w="2649" w:type="dxa"/>
            <w:vAlign w:val="bottom"/>
          </w:tcPr>
          <w:p w14:paraId="466A65EB" w14:textId="77777777" w:rsidR="00BE059B" w:rsidRPr="004D1D15" w:rsidRDefault="00FB5456" w:rsidP="00EF2F4F">
            <w:pPr>
              <w:spacing w:beforeAutospacing="1" w:afterAutospacing="1"/>
              <w:jc w:val="center"/>
            </w:pPr>
            <w:r w:rsidRPr="004D1D15">
              <w:rPr>
                <w:b/>
                <w:color w:val="000000"/>
              </w:rPr>
              <w:t>0</w:t>
            </w:r>
          </w:p>
        </w:tc>
      </w:tr>
    </w:tbl>
    <w:p w14:paraId="4DAFF45C" w14:textId="77777777" w:rsidR="00BE059B" w:rsidRPr="004D1D15" w:rsidRDefault="00FB5456">
      <w:pPr>
        <w:pStyle w:val="Caption"/>
        <w:jc w:val="center"/>
        <w:rPr>
          <w:rFonts w:asciiTheme="minorHAnsi" w:hAnsiTheme="minorHAnsi"/>
        </w:rPr>
      </w:pPr>
      <w:r w:rsidRPr="004D1D15">
        <w:rPr>
          <w:rFonts w:asciiTheme="minorHAnsi" w:hAnsiTheme="minorHAnsi"/>
        </w:rPr>
        <w:t xml:space="preserve">Table </w:t>
      </w:r>
      <w:r w:rsidRPr="004D1D15">
        <w:rPr>
          <w:rFonts w:asciiTheme="minorHAnsi" w:hAnsiTheme="minorHAnsi"/>
        </w:rPr>
        <w:fldChar w:fldCharType="begin"/>
      </w:r>
      <w:r w:rsidRPr="004D1D15">
        <w:rPr>
          <w:rFonts w:asciiTheme="minorHAnsi" w:hAnsiTheme="minorHAnsi"/>
        </w:rPr>
        <w:instrText xml:space="preserve"> SEQ Table \* ARABIC </w:instrText>
      </w:r>
      <w:r w:rsidRPr="004D1D15">
        <w:rPr>
          <w:rFonts w:asciiTheme="minorHAnsi" w:hAnsiTheme="minorHAnsi"/>
        </w:rPr>
        <w:fldChar w:fldCharType="separate"/>
      </w:r>
      <w:r w:rsidRPr="004D1D15">
        <w:rPr>
          <w:rFonts w:asciiTheme="minorHAnsi" w:hAnsiTheme="minorHAnsi"/>
        </w:rPr>
        <w:t>11</w:t>
      </w:r>
      <w:r w:rsidRPr="004D1D15">
        <w:rPr>
          <w:rFonts w:asciiTheme="minorHAnsi" w:hAnsiTheme="minorHAnsi"/>
        </w:rPr>
        <w:fldChar w:fldCharType="end"/>
      </w:r>
      <w:r w:rsidRPr="004D1D15">
        <w:rPr>
          <w:rFonts w:asciiTheme="minorHAnsi" w:hAnsiTheme="minorHAnsi"/>
        </w:rPr>
        <w:t xml:space="preserve"> – Number of Households</w:t>
      </w:r>
    </w:p>
    <w:p w14:paraId="723E4DDA" w14:textId="77777777" w:rsidR="00BE059B" w:rsidRPr="004D1D15" w:rsidRDefault="00BE059B"/>
    <w:p w14:paraId="5B3D9BA1" w14:textId="77777777" w:rsidR="00BE059B" w:rsidRPr="004D1D15" w:rsidRDefault="00BE059B"/>
    <w:p w14:paraId="65885E01" w14:textId="77777777" w:rsidR="00BE059B" w:rsidRPr="004D1D15" w:rsidRDefault="00BE059B">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E059B" w:rsidRPr="004D1D15" w14:paraId="34012A1F" w14:textId="77777777">
        <w:trPr>
          <w:cantSplit/>
          <w:tblHeader/>
        </w:trPr>
        <w:tc>
          <w:tcPr>
            <w:tcW w:w="4293" w:type="dxa"/>
          </w:tcPr>
          <w:p w14:paraId="3B8B497E" w14:textId="77777777" w:rsidR="00BE059B" w:rsidRPr="004D1D15" w:rsidRDefault="00BE059B">
            <w:pPr>
              <w:pStyle w:val="Caption"/>
              <w:keepNext/>
              <w:widowControl w:val="0"/>
              <w:jc w:val="center"/>
              <w:rPr>
                <w:rFonts w:ascii="Calibri" w:hAnsi="Calibri"/>
                <w:sz w:val="22"/>
                <w:szCs w:val="22"/>
              </w:rPr>
            </w:pPr>
          </w:p>
        </w:tc>
        <w:tc>
          <w:tcPr>
            <w:tcW w:w="2648" w:type="dxa"/>
          </w:tcPr>
          <w:p w14:paraId="698F4DA6" w14:textId="77777777" w:rsidR="00BE059B" w:rsidRPr="004D1D15" w:rsidRDefault="00FB5456">
            <w:pPr>
              <w:pStyle w:val="Caption"/>
              <w:keepNext/>
              <w:widowControl w:val="0"/>
              <w:jc w:val="center"/>
              <w:rPr>
                <w:rFonts w:ascii="Calibri" w:hAnsi="Calibri"/>
                <w:sz w:val="22"/>
                <w:szCs w:val="22"/>
              </w:rPr>
            </w:pPr>
            <w:r w:rsidRPr="004D1D15">
              <w:rPr>
                <w:rFonts w:ascii="Calibri" w:hAnsi="Calibri"/>
                <w:sz w:val="22"/>
                <w:szCs w:val="22"/>
              </w:rPr>
              <w:t>One-Year Goal</w:t>
            </w:r>
          </w:p>
        </w:tc>
        <w:tc>
          <w:tcPr>
            <w:tcW w:w="2649" w:type="dxa"/>
          </w:tcPr>
          <w:p w14:paraId="39A2C234" w14:textId="77777777" w:rsidR="00BE059B" w:rsidRPr="004D1D15" w:rsidRDefault="00FB5456">
            <w:pPr>
              <w:pStyle w:val="Caption"/>
              <w:keepNext/>
              <w:widowControl w:val="0"/>
              <w:jc w:val="center"/>
              <w:rPr>
                <w:rFonts w:ascii="Calibri" w:hAnsi="Calibri"/>
                <w:sz w:val="22"/>
                <w:szCs w:val="22"/>
              </w:rPr>
            </w:pPr>
            <w:r w:rsidRPr="004D1D15">
              <w:rPr>
                <w:rFonts w:ascii="Calibri" w:hAnsi="Calibri"/>
                <w:sz w:val="22"/>
                <w:szCs w:val="22"/>
              </w:rPr>
              <w:t>Actual</w:t>
            </w:r>
          </w:p>
        </w:tc>
      </w:tr>
      <w:tr w:rsidR="00BE059B" w:rsidRPr="004D1D15" w14:paraId="34FB8274" w14:textId="77777777">
        <w:trPr>
          <w:cantSplit/>
        </w:trPr>
        <w:tc>
          <w:tcPr>
            <w:tcW w:w="4293" w:type="dxa"/>
            <w:vAlign w:val="bottom"/>
          </w:tcPr>
          <w:p w14:paraId="2BB9A9F3" w14:textId="77777777" w:rsidR="00BE059B" w:rsidRPr="004D1D15" w:rsidRDefault="00FB5456">
            <w:pPr>
              <w:spacing w:beforeAutospacing="1" w:afterAutospacing="1"/>
            </w:pPr>
            <w:r w:rsidRPr="004D1D15">
              <w:rPr>
                <w:color w:val="000000"/>
              </w:rPr>
              <w:t>Number of households supported through Rental Assistance</w:t>
            </w:r>
          </w:p>
        </w:tc>
        <w:tc>
          <w:tcPr>
            <w:tcW w:w="2648" w:type="dxa"/>
            <w:vAlign w:val="bottom"/>
          </w:tcPr>
          <w:p w14:paraId="0CB99C15" w14:textId="77777777" w:rsidR="00BE059B" w:rsidRPr="004D1D15" w:rsidRDefault="00FB5456" w:rsidP="00E81713">
            <w:pPr>
              <w:spacing w:beforeAutospacing="1" w:afterAutospacing="1"/>
              <w:jc w:val="center"/>
            </w:pPr>
            <w:r w:rsidRPr="004D1D15">
              <w:rPr>
                <w:color w:val="000000"/>
              </w:rPr>
              <w:t>0</w:t>
            </w:r>
          </w:p>
        </w:tc>
        <w:tc>
          <w:tcPr>
            <w:tcW w:w="2649" w:type="dxa"/>
            <w:vAlign w:val="bottom"/>
          </w:tcPr>
          <w:p w14:paraId="47A58C13" w14:textId="77777777" w:rsidR="00BE059B" w:rsidRPr="004D1D15" w:rsidRDefault="00FB5456" w:rsidP="00E81713">
            <w:pPr>
              <w:spacing w:beforeAutospacing="1" w:afterAutospacing="1"/>
              <w:jc w:val="center"/>
            </w:pPr>
            <w:r w:rsidRPr="004D1D15">
              <w:rPr>
                <w:color w:val="000000"/>
              </w:rPr>
              <w:t>0</w:t>
            </w:r>
          </w:p>
        </w:tc>
      </w:tr>
      <w:tr w:rsidR="00BE059B" w:rsidRPr="004D1D15" w14:paraId="5FD8514C" w14:textId="77777777">
        <w:trPr>
          <w:cantSplit/>
        </w:trPr>
        <w:tc>
          <w:tcPr>
            <w:tcW w:w="4293" w:type="dxa"/>
            <w:vAlign w:val="bottom"/>
          </w:tcPr>
          <w:p w14:paraId="2FC875E8" w14:textId="77777777" w:rsidR="00BE059B" w:rsidRPr="004D1D15" w:rsidRDefault="00FB5456">
            <w:pPr>
              <w:spacing w:beforeAutospacing="1" w:afterAutospacing="1"/>
            </w:pPr>
            <w:r w:rsidRPr="004D1D15">
              <w:rPr>
                <w:color w:val="000000"/>
              </w:rPr>
              <w:t>Number of households supported through The Production of New Units</w:t>
            </w:r>
          </w:p>
        </w:tc>
        <w:tc>
          <w:tcPr>
            <w:tcW w:w="2648" w:type="dxa"/>
            <w:vAlign w:val="bottom"/>
          </w:tcPr>
          <w:p w14:paraId="38600FFC" w14:textId="77777777" w:rsidR="00BE059B" w:rsidRPr="004D1D15" w:rsidRDefault="00FB5456" w:rsidP="00E81713">
            <w:pPr>
              <w:spacing w:beforeAutospacing="1" w:afterAutospacing="1"/>
              <w:jc w:val="center"/>
            </w:pPr>
            <w:r w:rsidRPr="004D1D15">
              <w:rPr>
                <w:color w:val="000000"/>
              </w:rPr>
              <w:t>0</w:t>
            </w:r>
          </w:p>
        </w:tc>
        <w:tc>
          <w:tcPr>
            <w:tcW w:w="2649" w:type="dxa"/>
            <w:vAlign w:val="bottom"/>
          </w:tcPr>
          <w:p w14:paraId="5852140E" w14:textId="77777777" w:rsidR="00BE059B" w:rsidRPr="004D1D15" w:rsidRDefault="00FB5456" w:rsidP="00E81713">
            <w:pPr>
              <w:spacing w:beforeAutospacing="1" w:afterAutospacing="1"/>
              <w:jc w:val="center"/>
            </w:pPr>
            <w:r w:rsidRPr="004D1D15">
              <w:rPr>
                <w:color w:val="000000"/>
              </w:rPr>
              <w:t>0</w:t>
            </w:r>
          </w:p>
        </w:tc>
      </w:tr>
      <w:tr w:rsidR="00BE059B" w:rsidRPr="004D1D15" w14:paraId="073AA314" w14:textId="77777777">
        <w:trPr>
          <w:cantSplit/>
        </w:trPr>
        <w:tc>
          <w:tcPr>
            <w:tcW w:w="4293" w:type="dxa"/>
            <w:vAlign w:val="bottom"/>
          </w:tcPr>
          <w:p w14:paraId="08B3C640" w14:textId="77777777" w:rsidR="00BE059B" w:rsidRPr="004D1D15" w:rsidRDefault="00FB5456">
            <w:pPr>
              <w:spacing w:beforeAutospacing="1" w:afterAutospacing="1"/>
            </w:pPr>
            <w:r w:rsidRPr="004D1D15">
              <w:rPr>
                <w:color w:val="000000"/>
              </w:rPr>
              <w:t>Number of households supported through Rehab of Existing Units</w:t>
            </w:r>
          </w:p>
        </w:tc>
        <w:tc>
          <w:tcPr>
            <w:tcW w:w="2648" w:type="dxa"/>
            <w:vAlign w:val="bottom"/>
          </w:tcPr>
          <w:p w14:paraId="73C93F77" w14:textId="3C7985CA" w:rsidR="00BE059B" w:rsidRPr="004D1D15" w:rsidRDefault="004D1D15" w:rsidP="00E81713">
            <w:pPr>
              <w:spacing w:beforeAutospacing="1" w:afterAutospacing="1"/>
              <w:jc w:val="center"/>
            </w:pPr>
            <w:r w:rsidRPr="004D1D15">
              <w:rPr>
                <w:color w:val="000000"/>
              </w:rPr>
              <w:t>4</w:t>
            </w:r>
          </w:p>
        </w:tc>
        <w:tc>
          <w:tcPr>
            <w:tcW w:w="2649" w:type="dxa"/>
            <w:vAlign w:val="bottom"/>
          </w:tcPr>
          <w:p w14:paraId="0A94BD9B" w14:textId="4A8473F4" w:rsidR="00BE059B" w:rsidRPr="004D1D15" w:rsidRDefault="004D1D15" w:rsidP="00E81713">
            <w:pPr>
              <w:spacing w:beforeAutospacing="1" w:afterAutospacing="1"/>
              <w:jc w:val="center"/>
            </w:pPr>
            <w:r w:rsidRPr="004D1D15">
              <w:rPr>
                <w:color w:val="000000"/>
              </w:rPr>
              <w:t>2</w:t>
            </w:r>
          </w:p>
        </w:tc>
      </w:tr>
      <w:tr w:rsidR="00BE059B" w:rsidRPr="004D1D15" w14:paraId="6E81202E" w14:textId="77777777">
        <w:trPr>
          <w:cantSplit/>
        </w:trPr>
        <w:tc>
          <w:tcPr>
            <w:tcW w:w="4293" w:type="dxa"/>
            <w:vAlign w:val="bottom"/>
          </w:tcPr>
          <w:p w14:paraId="6F8ED97B" w14:textId="77777777" w:rsidR="00BE059B" w:rsidRPr="004D1D15" w:rsidRDefault="00FB5456">
            <w:pPr>
              <w:spacing w:beforeAutospacing="1" w:afterAutospacing="1"/>
            </w:pPr>
            <w:r w:rsidRPr="004D1D15">
              <w:rPr>
                <w:color w:val="000000"/>
              </w:rPr>
              <w:t>Number of households supported through Acquisition of Existing Units</w:t>
            </w:r>
          </w:p>
        </w:tc>
        <w:tc>
          <w:tcPr>
            <w:tcW w:w="2648" w:type="dxa"/>
            <w:vAlign w:val="bottom"/>
          </w:tcPr>
          <w:p w14:paraId="563A2BC2" w14:textId="77777777" w:rsidR="00BE059B" w:rsidRPr="004D1D15" w:rsidRDefault="00FB5456" w:rsidP="00E81713">
            <w:pPr>
              <w:spacing w:beforeAutospacing="1" w:afterAutospacing="1"/>
              <w:jc w:val="center"/>
            </w:pPr>
            <w:r w:rsidRPr="004D1D15">
              <w:rPr>
                <w:color w:val="000000"/>
              </w:rPr>
              <w:t>0</w:t>
            </w:r>
          </w:p>
        </w:tc>
        <w:tc>
          <w:tcPr>
            <w:tcW w:w="2649" w:type="dxa"/>
            <w:vAlign w:val="bottom"/>
          </w:tcPr>
          <w:p w14:paraId="10AD96DC" w14:textId="77777777" w:rsidR="00BE059B" w:rsidRPr="004D1D15" w:rsidRDefault="00FB5456" w:rsidP="00E81713">
            <w:pPr>
              <w:spacing w:beforeAutospacing="1" w:afterAutospacing="1"/>
              <w:jc w:val="center"/>
            </w:pPr>
            <w:r w:rsidRPr="004D1D15">
              <w:rPr>
                <w:color w:val="000000"/>
              </w:rPr>
              <w:t>0</w:t>
            </w:r>
          </w:p>
        </w:tc>
      </w:tr>
      <w:tr w:rsidR="00BE059B" w:rsidRPr="004D1D15" w14:paraId="7E2E1479" w14:textId="77777777">
        <w:trPr>
          <w:cantSplit/>
        </w:trPr>
        <w:tc>
          <w:tcPr>
            <w:tcW w:w="4293" w:type="dxa"/>
          </w:tcPr>
          <w:p w14:paraId="6ABC6FA2" w14:textId="77777777" w:rsidR="00BE059B" w:rsidRPr="004D1D15" w:rsidRDefault="00FB5456">
            <w:pPr>
              <w:spacing w:beforeAutospacing="1" w:afterAutospacing="1"/>
            </w:pPr>
            <w:r w:rsidRPr="004D1D15">
              <w:rPr>
                <w:b/>
                <w:color w:val="000000"/>
              </w:rPr>
              <w:t>Total</w:t>
            </w:r>
          </w:p>
        </w:tc>
        <w:tc>
          <w:tcPr>
            <w:tcW w:w="2648" w:type="dxa"/>
            <w:vAlign w:val="bottom"/>
          </w:tcPr>
          <w:p w14:paraId="5A137B7B" w14:textId="13A5BC68" w:rsidR="00BE059B" w:rsidRPr="004D1D15" w:rsidRDefault="004D1D15" w:rsidP="00E81713">
            <w:pPr>
              <w:spacing w:beforeAutospacing="1" w:afterAutospacing="1"/>
              <w:jc w:val="center"/>
            </w:pPr>
            <w:r w:rsidRPr="004D1D15">
              <w:rPr>
                <w:b/>
                <w:color w:val="000000"/>
              </w:rPr>
              <w:t>4</w:t>
            </w:r>
          </w:p>
        </w:tc>
        <w:tc>
          <w:tcPr>
            <w:tcW w:w="2649" w:type="dxa"/>
            <w:vAlign w:val="bottom"/>
          </w:tcPr>
          <w:p w14:paraId="38751186" w14:textId="3584469D" w:rsidR="00BE059B" w:rsidRPr="004D1D15" w:rsidRDefault="004D1D15" w:rsidP="00E81713">
            <w:pPr>
              <w:spacing w:beforeAutospacing="1" w:afterAutospacing="1"/>
              <w:jc w:val="center"/>
            </w:pPr>
            <w:r w:rsidRPr="004D1D15">
              <w:rPr>
                <w:b/>
                <w:color w:val="000000"/>
              </w:rPr>
              <w:t>2</w:t>
            </w:r>
          </w:p>
        </w:tc>
      </w:tr>
    </w:tbl>
    <w:p w14:paraId="48D45B25" w14:textId="77777777" w:rsidR="00BE059B" w:rsidRPr="004D1D15" w:rsidRDefault="00FB5456">
      <w:pPr>
        <w:pStyle w:val="Caption"/>
        <w:jc w:val="center"/>
        <w:rPr>
          <w:rFonts w:asciiTheme="minorHAnsi" w:hAnsiTheme="minorHAnsi"/>
        </w:rPr>
      </w:pPr>
      <w:r w:rsidRPr="004D1D15">
        <w:rPr>
          <w:rFonts w:asciiTheme="minorHAnsi" w:hAnsiTheme="minorHAnsi"/>
        </w:rPr>
        <w:t xml:space="preserve">Table </w:t>
      </w:r>
      <w:r w:rsidRPr="004D1D15">
        <w:rPr>
          <w:rFonts w:asciiTheme="minorHAnsi" w:hAnsiTheme="minorHAnsi"/>
        </w:rPr>
        <w:fldChar w:fldCharType="begin"/>
      </w:r>
      <w:r w:rsidRPr="004D1D15">
        <w:rPr>
          <w:rFonts w:asciiTheme="minorHAnsi" w:hAnsiTheme="minorHAnsi"/>
        </w:rPr>
        <w:instrText xml:space="preserve"> SEQ Table \* ARABIC </w:instrText>
      </w:r>
      <w:r w:rsidRPr="004D1D15">
        <w:rPr>
          <w:rFonts w:asciiTheme="minorHAnsi" w:hAnsiTheme="minorHAnsi"/>
        </w:rPr>
        <w:fldChar w:fldCharType="separate"/>
      </w:r>
      <w:r w:rsidRPr="004D1D15">
        <w:rPr>
          <w:rFonts w:asciiTheme="minorHAnsi" w:hAnsiTheme="minorHAnsi"/>
        </w:rPr>
        <w:t>12</w:t>
      </w:r>
      <w:r w:rsidRPr="004D1D15">
        <w:rPr>
          <w:rFonts w:asciiTheme="minorHAnsi" w:hAnsiTheme="minorHAnsi"/>
        </w:rPr>
        <w:fldChar w:fldCharType="end"/>
      </w:r>
      <w:r w:rsidRPr="004D1D15">
        <w:rPr>
          <w:rFonts w:asciiTheme="minorHAnsi" w:hAnsiTheme="minorHAnsi"/>
        </w:rPr>
        <w:t xml:space="preserve"> – Number of Households Supported</w:t>
      </w:r>
    </w:p>
    <w:p w14:paraId="15B97795" w14:textId="77777777" w:rsidR="00BE059B" w:rsidRPr="00767897" w:rsidRDefault="00BE059B">
      <w:pPr>
        <w:rPr>
          <w:rFonts w:cs="Arial"/>
          <w:highlight w:val="yellow"/>
        </w:rPr>
      </w:pPr>
    </w:p>
    <w:p w14:paraId="072D3A24" w14:textId="77777777" w:rsidR="00BE059B" w:rsidRPr="00767897" w:rsidRDefault="00BE059B">
      <w:pPr>
        <w:rPr>
          <w:rFonts w:cs="Arial"/>
          <w:highlight w:val="yellow"/>
        </w:rPr>
      </w:pPr>
    </w:p>
    <w:p w14:paraId="6D1C3498" w14:textId="54963DCF" w:rsidR="00BE059B" w:rsidRPr="004C6745" w:rsidRDefault="00FB5456">
      <w:pPr>
        <w:widowControl w:val="0"/>
        <w:spacing w:line="204" w:lineRule="auto"/>
        <w:rPr>
          <w:b/>
          <w:sz w:val="24"/>
          <w:szCs w:val="24"/>
        </w:rPr>
      </w:pPr>
      <w:r w:rsidRPr="004C6745">
        <w:rPr>
          <w:b/>
          <w:sz w:val="24"/>
          <w:szCs w:val="24"/>
        </w:rPr>
        <w:t>Discuss the difference between goals and outcomes and problems encountered in meeting these goals.</w:t>
      </w:r>
    </w:p>
    <w:p w14:paraId="1311F761" w14:textId="58EE6155" w:rsidR="00EE3FE8" w:rsidRPr="00C04839" w:rsidRDefault="009F4A33" w:rsidP="009F4A33">
      <w:pPr>
        <w:spacing w:beforeAutospacing="1" w:afterAutospacing="1"/>
        <w:rPr>
          <w:rFonts w:cs="Arial"/>
        </w:rPr>
      </w:pPr>
      <w:r w:rsidRPr="004C6745">
        <w:rPr>
          <w:rFonts w:cs="Arial"/>
        </w:rPr>
        <w:t xml:space="preserve">The City </w:t>
      </w:r>
      <w:r w:rsidR="004C6745" w:rsidRPr="004C6745">
        <w:rPr>
          <w:rFonts w:cs="Arial"/>
        </w:rPr>
        <w:t>continued to operate its</w:t>
      </w:r>
      <w:r w:rsidRPr="004C6745">
        <w:rPr>
          <w:rFonts w:cs="Arial"/>
        </w:rPr>
        <w:t xml:space="preserve"> HOME</w:t>
      </w:r>
      <w:r w:rsidR="004C6745" w:rsidRPr="004C6745">
        <w:rPr>
          <w:rFonts w:cs="Arial"/>
        </w:rPr>
        <w:t>-</w:t>
      </w:r>
      <w:r w:rsidRPr="004C6745">
        <w:rPr>
          <w:rFonts w:cs="Arial"/>
        </w:rPr>
        <w:t>fund</w:t>
      </w:r>
      <w:r w:rsidR="004C6745" w:rsidRPr="004C6745">
        <w:rPr>
          <w:rFonts w:cs="Arial"/>
        </w:rPr>
        <w:t>ed</w:t>
      </w:r>
      <w:r w:rsidRPr="004C6745">
        <w:rPr>
          <w:rFonts w:cs="Arial"/>
        </w:rPr>
        <w:t xml:space="preserve"> Home Rehabilitation Program.  This Program is for income-qualified applicants, offering a zero percent interest deferred loan for improvements to their property and to bring their dwelling u</w:t>
      </w:r>
      <w:r w:rsidRPr="00983A85">
        <w:rPr>
          <w:rFonts w:cs="Arial"/>
        </w:rPr>
        <w:t xml:space="preserve">p to code.  </w:t>
      </w:r>
      <w:r w:rsidR="004C6745" w:rsidRPr="00983A85">
        <w:rPr>
          <w:rFonts w:cs="Arial"/>
        </w:rPr>
        <w:t>T</w:t>
      </w:r>
      <w:r w:rsidRPr="00983A85">
        <w:rPr>
          <w:rFonts w:cs="Arial"/>
        </w:rPr>
        <w:t>he City</w:t>
      </w:r>
      <w:r w:rsidR="004C6745" w:rsidRPr="00983A85">
        <w:rPr>
          <w:rFonts w:cs="Arial"/>
        </w:rPr>
        <w:t>, unfortunately, continued to</w:t>
      </w:r>
      <w:r w:rsidRPr="00983A85">
        <w:rPr>
          <w:rFonts w:cs="Arial"/>
        </w:rPr>
        <w:t xml:space="preserve"> </w:t>
      </w:r>
      <w:r w:rsidR="00E81713" w:rsidRPr="00983A85">
        <w:rPr>
          <w:rFonts w:cs="Arial"/>
        </w:rPr>
        <w:t>experience</w:t>
      </w:r>
      <w:r w:rsidR="004C6745" w:rsidRPr="00983A85">
        <w:rPr>
          <w:rFonts w:cs="Arial"/>
        </w:rPr>
        <w:t xml:space="preserve"> </w:t>
      </w:r>
      <w:r w:rsidR="00E81713" w:rsidRPr="00983A85">
        <w:rPr>
          <w:rFonts w:cs="Arial"/>
        </w:rPr>
        <w:t>challenges finding eligible program participants. There is a continued need for this type of program in the City as the program does receive frequent inquiries</w:t>
      </w:r>
      <w:r w:rsidR="00EE3FE8" w:rsidRPr="00983A85">
        <w:rPr>
          <w:rFonts w:cs="Arial"/>
        </w:rPr>
        <w:t xml:space="preserve">. </w:t>
      </w:r>
      <w:r w:rsidR="00FB6A47" w:rsidRPr="00983A85">
        <w:rPr>
          <w:rFonts w:cs="Arial"/>
        </w:rPr>
        <w:t>However,</w:t>
      </w:r>
      <w:r w:rsidR="00EE3FE8" w:rsidRPr="00983A85">
        <w:rPr>
          <w:rFonts w:cs="Arial"/>
        </w:rPr>
        <w:t xml:space="preserve"> the challenges the program has faced include applicants being over the eligible income threshold or the current home value being higher than </w:t>
      </w:r>
      <w:r w:rsidR="00EE3FE8" w:rsidRPr="00C04839">
        <w:rPr>
          <w:rFonts w:cs="Arial"/>
        </w:rPr>
        <w:lastRenderedPageBreak/>
        <w:t xml:space="preserve">the eligible HUD after-rehabilitation value. </w:t>
      </w:r>
      <w:r w:rsidR="00983A85" w:rsidRPr="00C04839">
        <w:rPr>
          <w:rFonts w:cs="Arial"/>
        </w:rPr>
        <w:t xml:space="preserve">Even though there were </w:t>
      </w:r>
      <w:r w:rsidR="00C04839" w:rsidRPr="00C04839">
        <w:rPr>
          <w:rFonts w:cs="Arial"/>
        </w:rPr>
        <w:t xml:space="preserve">challenges the City was able to complete one 2-unit project in FY 23-24. </w:t>
      </w:r>
    </w:p>
    <w:p w14:paraId="04CC3F6A" w14:textId="2EB044B8" w:rsidR="009F4A33" w:rsidRPr="00C04839" w:rsidRDefault="00C04839" w:rsidP="009F4A33">
      <w:pPr>
        <w:spacing w:beforeAutospacing="1" w:afterAutospacing="1"/>
        <w:rPr>
          <w:rFonts w:cs="Arial"/>
        </w:rPr>
      </w:pPr>
      <w:r>
        <w:rPr>
          <w:rFonts w:cs="Arial"/>
        </w:rPr>
        <w:t>Additionally, t</w:t>
      </w:r>
      <w:r w:rsidR="00EE3FE8" w:rsidRPr="00C04839">
        <w:rPr>
          <w:rFonts w:cs="Arial"/>
        </w:rPr>
        <w:t xml:space="preserve">o support affordable housing efforts for its residents the </w:t>
      </w:r>
      <w:r w:rsidR="009F4A33" w:rsidRPr="00C04839">
        <w:rPr>
          <w:rFonts w:cs="Arial"/>
        </w:rPr>
        <w:t xml:space="preserve">City of South Gate </w:t>
      </w:r>
      <w:r w:rsidR="00EE3FE8" w:rsidRPr="00C04839">
        <w:rPr>
          <w:rFonts w:cs="Arial"/>
        </w:rPr>
        <w:t xml:space="preserve">offers the following programs: </w:t>
      </w:r>
    </w:p>
    <w:p w14:paraId="2AA97D68" w14:textId="77777777" w:rsidR="009F4A33" w:rsidRPr="00C04839" w:rsidRDefault="009F4A33" w:rsidP="009F4A33">
      <w:pPr>
        <w:numPr>
          <w:ilvl w:val="0"/>
          <w:numId w:val="3"/>
        </w:numPr>
        <w:spacing w:beforeAutospacing="1" w:afterAutospacing="1"/>
        <w:rPr>
          <w:rFonts w:cs="Arial"/>
        </w:rPr>
      </w:pPr>
      <w:r w:rsidRPr="00C04839">
        <w:rPr>
          <w:rFonts w:cs="Arial"/>
        </w:rPr>
        <w:t>Home Rehabilitation Program – A HOME funded program that offers deferred loans to income-qualified residents.</w:t>
      </w:r>
    </w:p>
    <w:p w14:paraId="433CC597" w14:textId="012B4D7E" w:rsidR="009F4A33" w:rsidRPr="00C04839" w:rsidRDefault="009F4A33" w:rsidP="009F4A33">
      <w:pPr>
        <w:numPr>
          <w:ilvl w:val="0"/>
          <w:numId w:val="3"/>
        </w:numPr>
        <w:spacing w:beforeAutospacing="1" w:afterAutospacing="1"/>
        <w:rPr>
          <w:rFonts w:cs="Arial"/>
        </w:rPr>
      </w:pPr>
      <w:r w:rsidRPr="00C04839">
        <w:rPr>
          <w:rFonts w:cs="Arial"/>
        </w:rPr>
        <w:t>Section 8 Housing Choice Voucher (HCV) Program – The South Gate Housing Authority administers the Housing Choice Voucher Program providing rental assistance to very-low-income families, the disabled, and the elderly for them to access affordable decent, safe, and sanitary housing in the City of South Gate's private sector.</w:t>
      </w:r>
      <w:r w:rsidR="00CB4611" w:rsidRPr="00C04839">
        <w:rPr>
          <w:rFonts w:cs="Arial"/>
        </w:rPr>
        <w:t xml:space="preserve"> </w:t>
      </w:r>
    </w:p>
    <w:p w14:paraId="22CE1CA5" w14:textId="77777777" w:rsidR="009F4A33" w:rsidRPr="00767897" w:rsidRDefault="009F4A33">
      <w:pPr>
        <w:widowControl w:val="0"/>
        <w:spacing w:line="204" w:lineRule="auto"/>
        <w:rPr>
          <w:b/>
          <w:sz w:val="24"/>
          <w:szCs w:val="24"/>
          <w:highlight w:val="yellow"/>
        </w:rPr>
      </w:pPr>
    </w:p>
    <w:p w14:paraId="6E1A89ED" w14:textId="7B01A81E" w:rsidR="00BE059B" w:rsidRPr="0070202C" w:rsidRDefault="00FB5456">
      <w:pPr>
        <w:widowControl w:val="0"/>
        <w:spacing w:line="204" w:lineRule="auto"/>
        <w:rPr>
          <w:b/>
          <w:sz w:val="24"/>
          <w:szCs w:val="24"/>
        </w:rPr>
      </w:pPr>
      <w:r w:rsidRPr="0070202C">
        <w:rPr>
          <w:b/>
          <w:sz w:val="24"/>
          <w:szCs w:val="24"/>
        </w:rPr>
        <w:t>Discuss how these outcomes will impact future annual action plans.</w:t>
      </w:r>
    </w:p>
    <w:p w14:paraId="09B4426B" w14:textId="65FBA74A" w:rsidR="00E34BC7" w:rsidRPr="0070202C" w:rsidRDefault="00E34BC7" w:rsidP="00E34BC7">
      <w:pPr>
        <w:spacing w:beforeAutospacing="1" w:afterAutospacing="1"/>
        <w:rPr>
          <w:rFonts w:cs="Arial"/>
        </w:rPr>
      </w:pPr>
      <w:r w:rsidRPr="0070202C">
        <w:rPr>
          <w:rFonts w:cs="Arial"/>
        </w:rPr>
        <w:t xml:space="preserve">Outcomes of the prior 5-year report period impact future Annual Action Plans as they assess the City's success in meeting established goals and outcomes. As the City experienced many challenges with </w:t>
      </w:r>
      <w:r w:rsidR="00CB4611" w:rsidRPr="0070202C">
        <w:rPr>
          <w:rFonts w:cs="Arial"/>
        </w:rPr>
        <w:t>its</w:t>
      </w:r>
      <w:r w:rsidRPr="0070202C">
        <w:rPr>
          <w:rFonts w:cs="Arial"/>
        </w:rPr>
        <w:t xml:space="preserve"> Homeowner Rehabilitation Program</w:t>
      </w:r>
      <w:r w:rsidR="00CB4611" w:rsidRPr="0070202C">
        <w:rPr>
          <w:rFonts w:cs="Arial"/>
        </w:rPr>
        <w:t>,</w:t>
      </w:r>
      <w:r w:rsidRPr="0070202C">
        <w:rPr>
          <w:rFonts w:cs="Arial"/>
        </w:rPr>
        <w:t xml:space="preserve"> it acknowledges that extra efforts are needed to continue to offer affordable housing options for its residents</w:t>
      </w:r>
      <w:r w:rsidR="008375DF" w:rsidRPr="0070202C">
        <w:rPr>
          <w:rFonts w:cs="Arial"/>
        </w:rPr>
        <w:t xml:space="preserve"> and make the most effective use of its CDBG and HOME funds. </w:t>
      </w:r>
      <w:r w:rsidR="00C02B3E" w:rsidRPr="0070202C">
        <w:rPr>
          <w:rFonts w:cs="Arial"/>
        </w:rPr>
        <w:t>During the next program cycle, the City will engage in the Consolidated Plan</w:t>
      </w:r>
      <w:r w:rsidR="00C0030A" w:rsidRPr="0070202C">
        <w:rPr>
          <w:rFonts w:cs="Arial"/>
        </w:rPr>
        <w:t xml:space="preserve"> process which will allow the City to </w:t>
      </w:r>
      <w:r w:rsidR="00690CED" w:rsidRPr="0070202C">
        <w:rPr>
          <w:rFonts w:cs="Arial"/>
        </w:rPr>
        <w:t>reassess the City’s needs at a deeper level and, if needed, shift</w:t>
      </w:r>
      <w:r w:rsidR="0070202C" w:rsidRPr="0070202C">
        <w:rPr>
          <w:rFonts w:cs="Arial"/>
        </w:rPr>
        <w:t xml:space="preserve"> its goals and allocation of types of activities it funds. </w:t>
      </w:r>
    </w:p>
    <w:p w14:paraId="099B91E5" w14:textId="77777777" w:rsidR="00E34BC7" w:rsidRPr="0070202C" w:rsidRDefault="00E34BC7">
      <w:pPr>
        <w:widowControl w:val="0"/>
        <w:spacing w:line="204" w:lineRule="auto"/>
        <w:rPr>
          <w:b/>
          <w:sz w:val="24"/>
          <w:szCs w:val="24"/>
        </w:rPr>
      </w:pPr>
    </w:p>
    <w:p w14:paraId="0B2A39B8" w14:textId="77777777" w:rsidR="00BE059B" w:rsidRPr="0070202C" w:rsidRDefault="00FB5456">
      <w:pPr>
        <w:keepNext/>
        <w:widowControl w:val="0"/>
        <w:spacing w:line="204" w:lineRule="auto"/>
        <w:rPr>
          <w:b/>
          <w:sz w:val="24"/>
          <w:szCs w:val="24"/>
        </w:rPr>
      </w:pPr>
      <w:r w:rsidRPr="0070202C">
        <w:rPr>
          <w:b/>
          <w:sz w:val="24"/>
          <w:szCs w:val="24"/>
        </w:rPr>
        <w:t>Include the number of extremely low-income, low-income, and moderate-income persons served by each activity where information on income by family size is required to determine the eligibility of the activity.</w:t>
      </w:r>
    </w:p>
    <w:p w14:paraId="6DF4FB9E" w14:textId="77777777" w:rsidR="00BE059B" w:rsidRPr="00767897" w:rsidRDefault="00BE059B">
      <w:pPr>
        <w:widowControl w:val="0"/>
        <w:spacing w:line="204" w:lineRule="auto"/>
        <w:rPr>
          <w:b/>
          <w:vanish/>
          <w:sz w:val="24"/>
          <w:szCs w:val="24"/>
          <w:highlight w:val="yellow"/>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915"/>
      </w:tblGrid>
      <w:tr w:rsidR="00BE059B" w:rsidRPr="00767897" w14:paraId="30C3ABE7" w14:textId="77777777">
        <w:trPr>
          <w:cantSplit/>
        </w:trPr>
        <w:tc>
          <w:tcPr>
            <w:tcW w:w="4081" w:type="dxa"/>
          </w:tcPr>
          <w:p w14:paraId="6A65C9F1" w14:textId="0AABAADD" w:rsidR="00BE059B" w:rsidRPr="001929DC" w:rsidRDefault="00FB6A47">
            <w:pPr>
              <w:keepNext/>
              <w:widowControl w:val="0"/>
              <w:spacing w:after="0" w:line="240" w:lineRule="auto"/>
              <w:jc w:val="center"/>
              <w:rPr>
                <w:b/>
              </w:rPr>
            </w:pPr>
            <w:r w:rsidRPr="001929DC">
              <w:rPr>
                <w:b/>
              </w:rPr>
              <w:t>Number of Households Served</w:t>
            </w:r>
          </w:p>
        </w:tc>
        <w:tc>
          <w:tcPr>
            <w:tcW w:w="1859" w:type="dxa"/>
          </w:tcPr>
          <w:p w14:paraId="5E0111F8" w14:textId="77777777" w:rsidR="00BE059B" w:rsidRPr="001929DC" w:rsidRDefault="00FB5456">
            <w:pPr>
              <w:keepNext/>
              <w:widowControl w:val="0"/>
              <w:spacing w:after="0" w:line="240" w:lineRule="auto"/>
              <w:jc w:val="center"/>
              <w:rPr>
                <w:b/>
              </w:rPr>
            </w:pPr>
            <w:r w:rsidRPr="001929DC">
              <w:rPr>
                <w:b/>
              </w:rPr>
              <w:t>CDBG Actual</w:t>
            </w:r>
          </w:p>
        </w:tc>
        <w:tc>
          <w:tcPr>
            <w:tcW w:w="1915" w:type="dxa"/>
          </w:tcPr>
          <w:p w14:paraId="6A1B34C0" w14:textId="77777777" w:rsidR="00BE059B" w:rsidRPr="000B3B69" w:rsidRDefault="00FB5456">
            <w:pPr>
              <w:keepNext/>
              <w:widowControl w:val="0"/>
              <w:spacing w:after="0" w:line="240" w:lineRule="auto"/>
              <w:jc w:val="center"/>
              <w:rPr>
                <w:b/>
              </w:rPr>
            </w:pPr>
            <w:r w:rsidRPr="000B3B69">
              <w:rPr>
                <w:b/>
              </w:rPr>
              <w:t>HOME Actual</w:t>
            </w:r>
          </w:p>
        </w:tc>
      </w:tr>
      <w:tr w:rsidR="00BE059B" w:rsidRPr="00767897" w14:paraId="6E491A7E" w14:textId="77777777">
        <w:trPr>
          <w:cantSplit/>
        </w:trPr>
        <w:tc>
          <w:tcPr>
            <w:tcW w:w="4081" w:type="dxa"/>
            <w:vAlign w:val="bottom"/>
          </w:tcPr>
          <w:p w14:paraId="5DA683F3" w14:textId="77777777" w:rsidR="00BE059B" w:rsidRPr="001929DC" w:rsidRDefault="00FB5456">
            <w:pPr>
              <w:spacing w:beforeAutospacing="1" w:afterAutospacing="1"/>
            </w:pPr>
            <w:r w:rsidRPr="001929DC">
              <w:rPr>
                <w:color w:val="000000"/>
              </w:rPr>
              <w:t>Extremely Low-income</w:t>
            </w:r>
          </w:p>
        </w:tc>
        <w:tc>
          <w:tcPr>
            <w:tcW w:w="1859" w:type="dxa"/>
            <w:vAlign w:val="bottom"/>
          </w:tcPr>
          <w:p w14:paraId="5820E29C" w14:textId="2A247885" w:rsidR="00BE059B" w:rsidRPr="001929DC" w:rsidRDefault="000B3B69" w:rsidP="00A75E98">
            <w:pPr>
              <w:spacing w:beforeAutospacing="1" w:afterAutospacing="1"/>
              <w:jc w:val="center"/>
            </w:pPr>
            <w:r w:rsidRPr="001929DC">
              <w:rPr>
                <w:color w:val="000000"/>
              </w:rPr>
              <w:t>178</w:t>
            </w:r>
          </w:p>
        </w:tc>
        <w:tc>
          <w:tcPr>
            <w:tcW w:w="1890" w:type="dxa"/>
            <w:vAlign w:val="bottom"/>
          </w:tcPr>
          <w:p w14:paraId="00A252A4" w14:textId="77777777" w:rsidR="00BE059B" w:rsidRPr="000B3B69" w:rsidRDefault="00FB5456" w:rsidP="00A75E98">
            <w:pPr>
              <w:spacing w:beforeAutospacing="1" w:afterAutospacing="1"/>
              <w:jc w:val="center"/>
            </w:pPr>
            <w:r w:rsidRPr="000B3B69">
              <w:rPr>
                <w:color w:val="000000"/>
              </w:rPr>
              <w:t>0</w:t>
            </w:r>
          </w:p>
        </w:tc>
      </w:tr>
      <w:tr w:rsidR="00BE059B" w:rsidRPr="00767897" w14:paraId="221D90C9" w14:textId="77777777">
        <w:trPr>
          <w:cantSplit/>
        </w:trPr>
        <w:tc>
          <w:tcPr>
            <w:tcW w:w="4081" w:type="dxa"/>
            <w:vAlign w:val="bottom"/>
          </w:tcPr>
          <w:p w14:paraId="058A4778" w14:textId="77777777" w:rsidR="00BE059B" w:rsidRPr="001929DC" w:rsidRDefault="00FB5456">
            <w:pPr>
              <w:spacing w:beforeAutospacing="1" w:afterAutospacing="1"/>
            </w:pPr>
            <w:r w:rsidRPr="001929DC">
              <w:rPr>
                <w:color w:val="000000"/>
              </w:rPr>
              <w:t>Low-income</w:t>
            </w:r>
          </w:p>
        </w:tc>
        <w:tc>
          <w:tcPr>
            <w:tcW w:w="1859" w:type="dxa"/>
            <w:vAlign w:val="bottom"/>
          </w:tcPr>
          <w:p w14:paraId="24E470A1" w14:textId="7286F577" w:rsidR="00BE059B" w:rsidRPr="001929DC" w:rsidRDefault="001929DC" w:rsidP="00A75E98">
            <w:pPr>
              <w:spacing w:beforeAutospacing="1" w:afterAutospacing="1"/>
              <w:jc w:val="center"/>
            </w:pPr>
            <w:r w:rsidRPr="001929DC">
              <w:rPr>
                <w:color w:val="000000"/>
              </w:rPr>
              <w:t>129</w:t>
            </w:r>
          </w:p>
        </w:tc>
        <w:tc>
          <w:tcPr>
            <w:tcW w:w="1890" w:type="dxa"/>
            <w:vAlign w:val="bottom"/>
          </w:tcPr>
          <w:p w14:paraId="6AC1A681" w14:textId="77777777" w:rsidR="00BE059B" w:rsidRPr="000B3B69" w:rsidRDefault="00FB5456" w:rsidP="00A75E98">
            <w:pPr>
              <w:spacing w:beforeAutospacing="1" w:afterAutospacing="1"/>
              <w:jc w:val="center"/>
            </w:pPr>
            <w:r w:rsidRPr="000B3B69">
              <w:rPr>
                <w:color w:val="000000"/>
              </w:rPr>
              <w:t>0</w:t>
            </w:r>
          </w:p>
        </w:tc>
      </w:tr>
      <w:tr w:rsidR="00BE059B" w:rsidRPr="00767897" w14:paraId="1875008B" w14:textId="77777777">
        <w:trPr>
          <w:cantSplit/>
        </w:trPr>
        <w:tc>
          <w:tcPr>
            <w:tcW w:w="4081" w:type="dxa"/>
            <w:vAlign w:val="bottom"/>
          </w:tcPr>
          <w:p w14:paraId="63483467" w14:textId="77777777" w:rsidR="00BE059B" w:rsidRPr="001929DC" w:rsidRDefault="00FB5456">
            <w:pPr>
              <w:spacing w:beforeAutospacing="1" w:afterAutospacing="1"/>
            </w:pPr>
            <w:r w:rsidRPr="001929DC">
              <w:rPr>
                <w:color w:val="000000"/>
              </w:rPr>
              <w:t>Moderate-income</w:t>
            </w:r>
          </w:p>
        </w:tc>
        <w:tc>
          <w:tcPr>
            <w:tcW w:w="1859" w:type="dxa"/>
            <w:vAlign w:val="bottom"/>
          </w:tcPr>
          <w:p w14:paraId="640F34E6" w14:textId="21956476" w:rsidR="00BE059B" w:rsidRPr="001929DC" w:rsidRDefault="001929DC" w:rsidP="00A75E98">
            <w:pPr>
              <w:spacing w:beforeAutospacing="1" w:afterAutospacing="1"/>
              <w:jc w:val="center"/>
            </w:pPr>
            <w:r w:rsidRPr="001929DC">
              <w:rPr>
                <w:color w:val="000000"/>
              </w:rPr>
              <w:t>73</w:t>
            </w:r>
          </w:p>
        </w:tc>
        <w:tc>
          <w:tcPr>
            <w:tcW w:w="1890" w:type="dxa"/>
            <w:vAlign w:val="bottom"/>
          </w:tcPr>
          <w:p w14:paraId="366D4175" w14:textId="3C3E448D" w:rsidR="00BE059B" w:rsidRPr="000B3B69" w:rsidRDefault="000B3B69" w:rsidP="00A75E98">
            <w:pPr>
              <w:spacing w:beforeAutospacing="1" w:afterAutospacing="1"/>
              <w:jc w:val="center"/>
            </w:pPr>
            <w:r w:rsidRPr="000B3B69">
              <w:rPr>
                <w:color w:val="000000"/>
              </w:rPr>
              <w:t>1</w:t>
            </w:r>
          </w:p>
        </w:tc>
      </w:tr>
      <w:tr w:rsidR="00BE059B" w:rsidRPr="00767897" w14:paraId="6BA2A371" w14:textId="77777777">
        <w:trPr>
          <w:cantSplit/>
        </w:trPr>
        <w:tc>
          <w:tcPr>
            <w:tcW w:w="4081" w:type="dxa"/>
            <w:vAlign w:val="bottom"/>
          </w:tcPr>
          <w:p w14:paraId="5BA2A292" w14:textId="77777777" w:rsidR="00BE059B" w:rsidRPr="001929DC" w:rsidRDefault="00FB5456">
            <w:pPr>
              <w:spacing w:beforeAutospacing="1" w:afterAutospacing="1"/>
            </w:pPr>
            <w:r w:rsidRPr="001929DC">
              <w:rPr>
                <w:b/>
                <w:color w:val="000000"/>
              </w:rPr>
              <w:t>Total</w:t>
            </w:r>
          </w:p>
        </w:tc>
        <w:tc>
          <w:tcPr>
            <w:tcW w:w="1859" w:type="dxa"/>
            <w:vAlign w:val="bottom"/>
          </w:tcPr>
          <w:p w14:paraId="09439F39" w14:textId="258EE0C3" w:rsidR="00BE059B" w:rsidRPr="001929DC" w:rsidRDefault="009B1323" w:rsidP="00A75E98">
            <w:pPr>
              <w:spacing w:beforeAutospacing="1" w:afterAutospacing="1"/>
              <w:jc w:val="center"/>
            </w:pPr>
            <w:r w:rsidRPr="001929DC">
              <w:rPr>
                <w:b/>
                <w:color w:val="000000"/>
              </w:rPr>
              <w:t>3</w:t>
            </w:r>
            <w:r w:rsidR="001929DC" w:rsidRPr="001929DC">
              <w:rPr>
                <w:b/>
                <w:color w:val="000000"/>
              </w:rPr>
              <w:t>80</w:t>
            </w:r>
          </w:p>
        </w:tc>
        <w:tc>
          <w:tcPr>
            <w:tcW w:w="1890" w:type="dxa"/>
            <w:vAlign w:val="bottom"/>
          </w:tcPr>
          <w:p w14:paraId="023FFB91" w14:textId="7BCF90C8" w:rsidR="00BE059B" w:rsidRPr="000B3B69" w:rsidRDefault="000B3B69" w:rsidP="00A75E98">
            <w:pPr>
              <w:spacing w:beforeAutospacing="1" w:afterAutospacing="1"/>
              <w:jc w:val="center"/>
            </w:pPr>
            <w:r w:rsidRPr="000B3B69">
              <w:rPr>
                <w:b/>
                <w:color w:val="000000"/>
              </w:rPr>
              <w:t>1</w:t>
            </w:r>
          </w:p>
        </w:tc>
      </w:tr>
    </w:tbl>
    <w:p w14:paraId="596527FA" w14:textId="77777777" w:rsidR="00BE059B" w:rsidRPr="001929DC" w:rsidRDefault="00FB5456">
      <w:pPr>
        <w:pStyle w:val="Caption"/>
        <w:jc w:val="center"/>
        <w:rPr>
          <w:rFonts w:asciiTheme="minorHAnsi" w:hAnsiTheme="minorHAnsi"/>
        </w:rPr>
      </w:pPr>
      <w:r w:rsidRPr="001929DC">
        <w:rPr>
          <w:rFonts w:asciiTheme="minorHAnsi" w:hAnsiTheme="minorHAnsi"/>
        </w:rPr>
        <w:t xml:space="preserve">Table </w:t>
      </w:r>
      <w:r w:rsidRPr="001929DC">
        <w:rPr>
          <w:rFonts w:asciiTheme="minorHAnsi" w:hAnsiTheme="minorHAnsi"/>
        </w:rPr>
        <w:fldChar w:fldCharType="begin"/>
      </w:r>
      <w:r w:rsidRPr="001929DC">
        <w:rPr>
          <w:rFonts w:asciiTheme="minorHAnsi" w:hAnsiTheme="minorHAnsi"/>
        </w:rPr>
        <w:instrText xml:space="preserve"> SEQ Table \* ARABIC </w:instrText>
      </w:r>
      <w:r w:rsidRPr="001929DC">
        <w:rPr>
          <w:rFonts w:asciiTheme="minorHAnsi" w:hAnsiTheme="minorHAnsi"/>
        </w:rPr>
        <w:fldChar w:fldCharType="separate"/>
      </w:r>
      <w:r w:rsidRPr="001929DC">
        <w:rPr>
          <w:rFonts w:asciiTheme="minorHAnsi" w:hAnsiTheme="minorHAnsi"/>
        </w:rPr>
        <w:t>13</w:t>
      </w:r>
      <w:r w:rsidRPr="001929DC">
        <w:rPr>
          <w:rFonts w:asciiTheme="minorHAnsi" w:hAnsiTheme="minorHAnsi"/>
        </w:rPr>
        <w:fldChar w:fldCharType="end"/>
      </w:r>
      <w:r w:rsidRPr="001929DC">
        <w:rPr>
          <w:rFonts w:asciiTheme="minorHAnsi" w:hAnsiTheme="minorHAnsi"/>
        </w:rPr>
        <w:t xml:space="preserve"> – Number of Households Served</w:t>
      </w:r>
    </w:p>
    <w:p w14:paraId="6EC56E8F" w14:textId="77777777" w:rsidR="00BE059B" w:rsidRPr="00767897" w:rsidRDefault="00BE059B">
      <w:pPr>
        <w:widowControl w:val="0"/>
        <w:spacing w:line="204" w:lineRule="auto"/>
        <w:rPr>
          <w:b/>
          <w:sz w:val="24"/>
          <w:szCs w:val="24"/>
          <w:highlight w:val="yellow"/>
        </w:rPr>
      </w:pPr>
    </w:p>
    <w:p w14:paraId="272F5DDC" w14:textId="2F337A54" w:rsidR="00BE059B" w:rsidRPr="0098089B" w:rsidRDefault="00FB5456">
      <w:pPr>
        <w:widowControl w:val="0"/>
        <w:spacing w:line="204" w:lineRule="auto"/>
        <w:rPr>
          <w:b/>
          <w:sz w:val="24"/>
          <w:szCs w:val="24"/>
        </w:rPr>
      </w:pPr>
      <w:r w:rsidRPr="0098089B">
        <w:rPr>
          <w:b/>
          <w:sz w:val="24"/>
          <w:szCs w:val="24"/>
        </w:rPr>
        <w:t>Narrative Information</w:t>
      </w:r>
    </w:p>
    <w:p w14:paraId="30DAE3F9" w14:textId="7B703DA7" w:rsidR="00BA16D2" w:rsidRPr="0098089B" w:rsidRDefault="00BA16D2" w:rsidP="00BA16D2">
      <w:pPr>
        <w:widowControl w:val="0"/>
        <w:spacing w:line="204" w:lineRule="auto"/>
        <w:rPr>
          <w:bCs/>
          <w:sz w:val="24"/>
          <w:szCs w:val="24"/>
        </w:rPr>
      </w:pPr>
      <w:r w:rsidRPr="0098089B">
        <w:rPr>
          <w:bCs/>
          <w:sz w:val="24"/>
          <w:szCs w:val="24"/>
        </w:rPr>
        <w:t xml:space="preserve">The numbers in Table 13 reflect the number of low-income </w:t>
      </w:r>
      <w:r w:rsidR="00636417" w:rsidRPr="0098089B">
        <w:rPr>
          <w:bCs/>
          <w:sz w:val="24"/>
          <w:szCs w:val="24"/>
        </w:rPr>
        <w:t>people</w:t>
      </w:r>
      <w:r w:rsidRPr="0098089B">
        <w:rPr>
          <w:bCs/>
          <w:sz w:val="24"/>
          <w:szCs w:val="24"/>
        </w:rPr>
        <w:t xml:space="preserve"> served by CDBG</w:t>
      </w:r>
      <w:r w:rsidR="0098089B" w:rsidRPr="0098089B">
        <w:rPr>
          <w:bCs/>
          <w:sz w:val="24"/>
          <w:szCs w:val="24"/>
        </w:rPr>
        <w:t xml:space="preserve"> and HOME </w:t>
      </w:r>
      <w:r w:rsidRPr="0098089B">
        <w:rPr>
          <w:bCs/>
          <w:sz w:val="24"/>
          <w:szCs w:val="24"/>
        </w:rPr>
        <w:t xml:space="preserve">funded activities. </w:t>
      </w:r>
    </w:p>
    <w:p w14:paraId="58688413" w14:textId="085D482D" w:rsidR="00BA16D2" w:rsidRPr="00636417" w:rsidRDefault="00BA16D2" w:rsidP="00BA16D2">
      <w:pPr>
        <w:widowControl w:val="0"/>
        <w:spacing w:line="204" w:lineRule="auto"/>
        <w:rPr>
          <w:bCs/>
        </w:rPr>
      </w:pPr>
      <w:r w:rsidRPr="00636417">
        <w:rPr>
          <w:bCs/>
        </w:rPr>
        <w:t xml:space="preserve">During Program Year </w:t>
      </w:r>
      <w:r w:rsidR="00E9485F" w:rsidRPr="00636417">
        <w:t>202</w:t>
      </w:r>
      <w:r w:rsidR="0098089B" w:rsidRPr="00636417">
        <w:t>3</w:t>
      </w:r>
      <w:r w:rsidR="00E9485F" w:rsidRPr="00636417">
        <w:t>-202</w:t>
      </w:r>
      <w:r w:rsidR="0064533D" w:rsidRPr="00636417">
        <w:t>4</w:t>
      </w:r>
      <w:r w:rsidRPr="00636417">
        <w:rPr>
          <w:bCs/>
        </w:rPr>
        <w:t>, the following CDBG activit</w:t>
      </w:r>
      <w:r w:rsidR="004A6A4E" w:rsidRPr="00636417">
        <w:rPr>
          <w:bCs/>
        </w:rPr>
        <w:t>y</w:t>
      </w:r>
      <w:r w:rsidRPr="00636417">
        <w:rPr>
          <w:bCs/>
        </w:rPr>
        <w:t xml:space="preserve"> served individuals at the Extremely Low to </w:t>
      </w:r>
      <w:r w:rsidR="00636417" w:rsidRPr="00636417">
        <w:rPr>
          <w:bCs/>
        </w:rPr>
        <w:t>M</w:t>
      </w:r>
      <w:r w:rsidRPr="00636417">
        <w:rPr>
          <w:bCs/>
        </w:rPr>
        <w:t>oderate-</w:t>
      </w:r>
      <w:r w:rsidR="00636417" w:rsidRPr="00636417">
        <w:rPr>
          <w:bCs/>
        </w:rPr>
        <w:t>I</w:t>
      </w:r>
      <w:r w:rsidRPr="00636417">
        <w:rPr>
          <w:bCs/>
        </w:rPr>
        <w:t>ncome level:</w:t>
      </w:r>
      <w:r w:rsidR="00E9485F" w:rsidRPr="00636417">
        <w:rPr>
          <w:bCs/>
        </w:rPr>
        <w:t xml:space="preserve"> </w:t>
      </w:r>
    </w:p>
    <w:p w14:paraId="3C9FA4B8" w14:textId="0A532753" w:rsidR="00BA16D2" w:rsidRPr="00CD5262" w:rsidRDefault="00BA16D2" w:rsidP="00BA16D2">
      <w:pPr>
        <w:pStyle w:val="ListParagraph"/>
        <w:widowControl w:val="0"/>
        <w:numPr>
          <w:ilvl w:val="0"/>
          <w:numId w:val="18"/>
        </w:numPr>
        <w:spacing w:line="204" w:lineRule="auto"/>
        <w:rPr>
          <w:bCs/>
        </w:rPr>
      </w:pPr>
      <w:r w:rsidRPr="00CD5262">
        <w:rPr>
          <w:bCs/>
        </w:rPr>
        <w:lastRenderedPageBreak/>
        <w:t>Fair Housing Foundation: 3</w:t>
      </w:r>
      <w:r w:rsidR="0017063C" w:rsidRPr="00CD5262">
        <w:rPr>
          <w:bCs/>
        </w:rPr>
        <w:t>06</w:t>
      </w:r>
      <w:r w:rsidRPr="00CD5262">
        <w:rPr>
          <w:bCs/>
        </w:rPr>
        <w:t xml:space="preserve"> people</w:t>
      </w:r>
    </w:p>
    <w:p w14:paraId="7B6AE531" w14:textId="7C71C1D1" w:rsidR="00636417" w:rsidRPr="00CD5262" w:rsidRDefault="005F5D3E" w:rsidP="00BA16D2">
      <w:pPr>
        <w:pStyle w:val="ListParagraph"/>
        <w:widowControl w:val="0"/>
        <w:numPr>
          <w:ilvl w:val="0"/>
          <w:numId w:val="18"/>
        </w:numPr>
        <w:spacing w:line="204" w:lineRule="auto"/>
        <w:rPr>
          <w:bCs/>
        </w:rPr>
      </w:pPr>
      <w:r w:rsidRPr="00CD5262">
        <w:rPr>
          <w:bCs/>
        </w:rPr>
        <w:t>Family Violence Prevention Program: 60 people</w:t>
      </w:r>
    </w:p>
    <w:p w14:paraId="3F670840" w14:textId="0E1BF27D" w:rsidR="005F5D3E" w:rsidRPr="00CD5262" w:rsidRDefault="005F5D3E" w:rsidP="00BA16D2">
      <w:pPr>
        <w:pStyle w:val="ListParagraph"/>
        <w:widowControl w:val="0"/>
        <w:numPr>
          <w:ilvl w:val="0"/>
          <w:numId w:val="18"/>
        </w:numPr>
        <w:spacing w:line="204" w:lineRule="auto"/>
        <w:rPr>
          <w:bCs/>
        </w:rPr>
      </w:pPr>
      <w:r w:rsidRPr="00CD5262">
        <w:rPr>
          <w:bCs/>
        </w:rPr>
        <w:t xml:space="preserve">Police Explorers: </w:t>
      </w:r>
      <w:r w:rsidR="00717A1D" w:rsidRPr="00CD5262">
        <w:rPr>
          <w:bCs/>
        </w:rPr>
        <w:t>11 people</w:t>
      </w:r>
    </w:p>
    <w:p w14:paraId="61FC1FFB" w14:textId="75FD7E15" w:rsidR="00717A1D" w:rsidRPr="00CD5262" w:rsidRDefault="00717A1D" w:rsidP="00BA16D2">
      <w:pPr>
        <w:pStyle w:val="ListParagraph"/>
        <w:widowControl w:val="0"/>
        <w:numPr>
          <w:ilvl w:val="0"/>
          <w:numId w:val="18"/>
        </w:numPr>
        <w:spacing w:line="204" w:lineRule="auto"/>
        <w:rPr>
          <w:bCs/>
        </w:rPr>
      </w:pPr>
      <w:r w:rsidRPr="00CD5262">
        <w:rPr>
          <w:bCs/>
        </w:rPr>
        <w:t>Southern California Rehabilitation Services: 3 people</w:t>
      </w:r>
    </w:p>
    <w:p w14:paraId="186A9FF8" w14:textId="171DD642" w:rsidR="004E17D1" w:rsidRPr="00DA038E" w:rsidRDefault="004E17D1" w:rsidP="004E17D1">
      <w:pPr>
        <w:spacing w:beforeAutospacing="1" w:afterAutospacing="1"/>
        <w:rPr>
          <w:rFonts w:cs="Arial"/>
        </w:rPr>
      </w:pPr>
      <w:r w:rsidRPr="00DA038E">
        <w:rPr>
          <w:rFonts w:cs="Arial"/>
        </w:rPr>
        <w:t xml:space="preserve">The number of owner and renter households assisted meet the Section 215 definition of affordable housing as staff do review that renters and homeowners meet low-income thresholds. </w:t>
      </w:r>
    </w:p>
    <w:p w14:paraId="4D87BA92" w14:textId="554611D9" w:rsidR="004E17D1" w:rsidRPr="00CD5262" w:rsidRDefault="004E17D1" w:rsidP="004E17D1">
      <w:pPr>
        <w:spacing w:beforeAutospacing="1" w:afterAutospacing="1"/>
        <w:rPr>
          <w:rFonts w:cs="Arial"/>
        </w:rPr>
      </w:pPr>
      <w:r w:rsidRPr="00CD5262">
        <w:rPr>
          <w:rFonts w:cs="Arial"/>
          <w:b/>
          <w:u w:val="single"/>
        </w:rPr>
        <w:t>"WORST-CASE NEEDS</w:t>
      </w:r>
      <w:r w:rsidRPr="00CD5262">
        <w:rPr>
          <w:rFonts w:cs="Arial"/>
        </w:rPr>
        <w:t xml:space="preserve">":  Worst case housing needs are defined as low-income renter households who pay more than half their income for rent, live in seriously substandard housing, or have been involuntarily displaced. The City did not specifically assist with housing needs </w:t>
      </w:r>
      <w:r w:rsidR="00E9485F" w:rsidRPr="00CD5262">
        <w:rPr>
          <w:rFonts w:cs="Arial"/>
        </w:rPr>
        <w:t>for</w:t>
      </w:r>
      <w:r w:rsidRPr="00CD5262">
        <w:rPr>
          <w:rFonts w:cs="Arial"/>
        </w:rPr>
        <w:t xml:space="preserve"> those with disabilities. The City of South Gate served the worst-case needs in FY </w:t>
      </w:r>
      <w:r w:rsidR="00E9485F" w:rsidRPr="00CD5262">
        <w:t>202</w:t>
      </w:r>
      <w:r w:rsidR="00CD5262" w:rsidRPr="00CD5262">
        <w:t>2</w:t>
      </w:r>
      <w:r w:rsidR="00E9485F" w:rsidRPr="00CD5262">
        <w:t>-202</w:t>
      </w:r>
      <w:r w:rsidR="00CD5262" w:rsidRPr="00CD5262">
        <w:t>4</w:t>
      </w:r>
      <w:r w:rsidR="00E9485F" w:rsidRPr="00CD5262">
        <w:t xml:space="preserve"> </w:t>
      </w:r>
      <w:r w:rsidRPr="00CD5262">
        <w:rPr>
          <w:rFonts w:cs="Arial"/>
        </w:rPr>
        <w:t>by providing the following:</w:t>
      </w:r>
      <w:r w:rsidR="00E9485F" w:rsidRPr="00CD5262">
        <w:rPr>
          <w:rFonts w:cs="Arial"/>
        </w:rPr>
        <w:t xml:space="preserve"> </w:t>
      </w:r>
    </w:p>
    <w:p w14:paraId="6B0D45D5" w14:textId="77777777" w:rsidR="004E17D1" w:rsidRPr="00CD5262" w:rsidRDefault="004E17D1" w:rsidP="004E17D1">
      <w:pPr>
        <w:spacing w:beforeAutospacing="1" w:afterAutospacing="1"/>
        <w:rPr>
          <w:rFonts w:cs="Arial"/>
        </w:rPr>
      </w:pPr>
      <w:r w:rsidRPr="00CD5262">
        <w:rPr>
          <w:rFonts w:cs="Arial"/>
          <w:b/>
          <w:i/>
          <w:u w:val="single"/>
        </w:rPr>
        <w:t>More than 50% of rent</w:t>
      </w:r>
      <w:r w:rsidRPr="00CD5262">
        <w:rPr>
          <w:rFonts w:cs="Arial"/>
        </w:rPr>
        <w:t>:  The Housing Choice Voucher rental assistance Program provided housing payment assistance to those qualifying households who paid more than 50% of their income for housing. CDBG funds were utilized through various agencies to assist with food and other support services. </w:t>
      </w:r>
    </w:p>
    <w:p w14:paraId="773CF190" w14:textId="77777777" w:rsidR="004E17D1" w:rsidRPr="00CD5262" w:rsidRDefault="004E17D1" w:rsidP="004E17D1">
      <w:pPr>
        <w:spacing w:beforeAutospacing="1" w:afterAutospacing="1"/>
        <w:rPr>
          <w:rFonts w:cs="Arial"/>
        </w:rPr>
      </w:pPr>
      <w:r w:rsidRPr="00CD5262">
        <w:rPr>
          <w:rFonts w:cs="Arial"/>
          <w:b/>
          <w:i/>
          <w:u w:val="single"/>
        </w:rPr>
        <w:t>Substandard Housing</w:t>
      </w:r>
      <w:r w:rsidRPr="00CD5262">
        <w:rPr>
          <w:rFonts w:cs="Arial"/>
        </w:rPr>
        <w:t>: The Housing Choice Voucher rental assistance program ensured that substandard housing met HQS Standards, State Standards, and/or local rehabilitation standards for decent housing.</w:t>
      </w:r>
    </w:p>
    <w:p w14:paraId="780C24CF" w14:textId="77777777" w:rsidR="004E17D1" w:rsidRPr="00CD5262" w:rsidRDefault="004E17D1" w:rsidP="004E17D1">
      <w:r w:rsidRPr="00CD5262">
        <w:rPr>
          <w:rFonts w:cs="Arial"/>
          <w:b/>
          <w:i/>
          <w:u w:val="single"/>
        </w:rPr>
        <w:t>Involuntarily Displaced</w:t>
      </w:r>
      <w:r w:rsidRPr="00CD5262">
        <w:rPr>
          <w:rFonts w:cs="Arial"/>
          <w:i/>
        </w:rPr>
        <w:t xml:space="preserve">:  </w:t>
      </w:r>
      <w:r w:rsidRPr="00CD5262">
        <w:rPr>
          <w:rFonts w:cs="Arial"/>
        </w:rPr>
        <w:t>During the reporting period, there was no voluntary or involuntary displacement through the City's Federal Entitlement Programs.</w:t>
      </w:r>
    </w:p>
    <w:p w14:paraId="37753E1C" w14:textId="77777777" w:rsidR="00BA16D2" w:rsidRPr="00767897" w:rsidRDefault="00BA16D2" w:rsidP="00A3778C">
      <w:pPr>
        <w:spacing w:before="100" w:beforeAutospacing="1" w:after="100" w:afterAutospacing="1"/>
        <w:rPr>
          <w:rFonts w:cs="Arial"/>
          <w:highlight w:val="yellow"/>
        </w:rPr>
      </w:pPr>
    </w:p>
    <w:p w14:paraId="64E8B95C" w14:textId="77777777" w:rsidR="00074EA4" w:rsidRPr="00767897" w:rsidRDefault="00074EA4">
      <w:pPr>
        <w:widowControl w:val="0"/>
        <w:spacing w:line="204" w:lineRule="auto"/>
        <w:rPr>
          <w:b/>
          <w:sz w:val="24"/>
          <w:szCs w:val="24"/>
          <w:highlight w:val="yellow"/>
        </w:rPr>
      </w:pPr>
    </w:p>
    <w:p w14:paraId="5F3088C7" w14:textId="77777777" w:rsidR="00BE059B" w:rsidRPr="00767897" w:rsidRDefault="00BE059B">
      <w:pPr>
        <w:rPr>
          <w:rFonts w:cs="Arial"/>
          <w:highlight w:val="yellow"/>
        </w:rPr>
      </w:pPr>
    </w:p>
    <w:p w14:paraId="63FC1B8C" w14:textId="77777777" w:rsidR="00BE059B" w:rsidRPr="00767897" w:rsidRDefault="00BE059B">
      <w:pPr>
        <w:pStyle w:val="Heading2"/>
        <w:pageBreakBefore/>
        <w:rPr>
          <w:rFonts w:ascii="Calibri" w:hAnsi="Calibri"/>
          <w:i w:val="0"/>
          <w:highlight w:val="yellow"/>
        </w:rPr>
        <w:sectPr w:rsidR="00BE059B" w:rsidRPr="00767897" w:rsidSect="00A23BD2">
          <w:pgSz w:w="12240" w:h="15840" w:code="1"/>
          <w:pgMar w:top="1440" w:right="1440" w:bottom="1440" w:left="1440" w:header="720" w:footer="720" w:gutter="0"/>
          <w:cols w:space="720"/>
          <w:docGrid w:linePitch="360"/>
        </w:sectPr>
      </w:pPr>
    </w:p>
    <w:p w14:paraId="59B9C138" w14:textId="77777777" w:rsidR="00BE059B" w:rsidRPr="000E6555" w:rsidRDefault="00FB5456">
      <w:pPr>
        <w:pStyle w:val="Heading2"/>
        <w:pageBreakBefore/>
        <w:widowControl w:val="0"/>
        <w:rPr>
          <w:rFonts w:ascii="Calibri" w:hAnsi="Calibri"/>
          <w:i w:val="0"/>
        </w:rPr>
      </w:pPr>
      <w:bookmarkStart w:id="7" w:name="_Toc142647850"/>
      <w:bookmarkEnd w:id="5"/>
      <w:r w:rsidRPr="000E6555">
        <w:rPr>
          <w:rFonts w:ascii="Calibri" w:hAnsi="Calibri"/>
          <w:i w:val="0"/>
        </w:rPr>
        <w:lastRenderedPageBreak/>
        <w:t>CR-25 - Homeless and Other Special Needs 91.220(d, e); 91.320(d, e); 91.520(c)</w:t>
      </w:r>
      <w:bookmarkEnd w:id="7"/>
    </w:p>
    <w:p w14:paraId="463668BF" w14:textId="77777777" w:rsidR="00BE059B" w:rsidRPr="000E6555" w:rsidRDefault="00FB5456">
      <w:pPr>
        <w:keepNext/>
        <w:widowControl w:val="0"/>
        <w:rPr>
          <w:b/>
          <w:sz w:val="24"/>
          <w:szCs w:val="24"/>
        </w:rPr>
      </w:pPr>
      <w:r w:rsidRPr="000E6555">
        <w:rPr>
          <w:b/>
          <w:sz w:val="24"/>
          <w:szCs w:val="24"/>
        </w:rPr>
        <w:t>Evaluate the jurisdiction’s progress in meeting its specific objectives for reducing and ending homelessness through:</w:t>
      </w:r>
    </w:p>
    <w:p w14:paraId="305D3457" w14:textId="2D96317A" w:rsidR="00BE059B" w:rsidRPr="000E6555" w:rsidRDefault="00FB5456">
      <w:pPr>
        <w:widowControl w:val="0"/>
        <w:rPr>
          <w:b/>
          <w:sz w:val="24"/>
          <w:szCs w:val="24"/>
        </w:rPr>
      </w:pPr>
      <w:r w:rsidRPr="000E6555">
        <w:rPr>
          <w:b/>
          <w:sz w:val="24"/>
          <w:szCs w:val="24"/>
        </w:rPr>
        <w:t>Reaching out to homeless persons (especially unsheltered persons) and assessing their individual needs</w:t>
      </w:r>
    </w:p>
    <w:p w14:paraId="4E5742C9" w14:textId="77777777" w:rsidR="004A14AD" w:rsidRPr="000E6555" w:rsidRDefault="004A14AD" w:rsidP="004A14AD">
      <w:pPr>
        <w:widowControl w:val="0"/>
        <w:spacing w:beforeAutospacing="1" w:afterAutospacing="1"/>
        <w:rPr>
          <w:rFonts w:cs="Arial"/>
        </w:rPr>
      </w:pPr>
      <w:r w:rsidRPr="000E6555">
        <w:rPr>
          <w:rFonts w:cs="Arial"/>
        </w:rPr>
        <w:t xml:space="preserve">The City of South Gate plans, coordinates, and organizes strategies to assist the City's homeless population in collaboration with other public and private organizations. The County of Los Angeles, through the Los Angeles Homeless Services Authority (LAHSA), has the primary responsibility for providing regional homeless services. Individuals and families who do not qualify as South Gate residents are referred to People Assisting the Homeless (PATH) for screening and services intake. </w:t>
      </w:r>
      <w:r w:rsidRPr="000E6555">
        <w:rPr>
          <w:rFonts w:cs="Arial"/>
          <w:b/>
        </w:rPr>
        <w:t> </w:t>
      </w:r>
    </w:p>
    <w:p w14:paraId="75F4E08C" w14:textId="750B1820" w:rsidR="004A14AD" w:rsidRPr="000E6555" w:rsidRDefault="004A14AD">
      <w:pPr>
        <w:widowControl w:val="0"/>
        <w:spacing w:beforeAutospacing="1" w:afterAutospacing="1"/>
        <w:rPr>
          <w:rFonts w:cs="Arial"/>
        </w:rPr>
      </w:pPr>
      <w:r w:rsidRPr="000E6555">
        <w:rPr>
          <w:rFonts w:cs="Arial"/>
        </w:rPr>
        <w:t>The South Gate Police Department, in cooperation with the</w:t>
      </w:r>
      <w:r w:rsidR="007F1E5C" w:rsidRPr="000E6555">
        <w:rPr>
          <w:rFonts w:cs="Arial"/>
        </w:rPr>
        <w:t xml:space="preserve"> local</w:t>
      </w:r>
      <w:r w:rsidRPr="000E6555">
        <w:rPr>
          <w:rFonts w:cs="Arial"/>
        </w:rPr>
        <w:t xml:space="preserve"> Salvation Army Bell Shelter, operates a homeless outreach program that consists of a mobile outreach team.</w:t>
      </w:r>
      <w:r w:rsidR="008E4BC1" w:rsidRPr="000E6555">
        <w:rPr>
          <w:rFonts w:cs="Arial"/>
        </w:rPr>
        <w:t xml:space="preserve"> The</w:t>
      </w:r>
      <w:r w:rsidRPr="000E6555">
        <w:rPr>
          <w:rFonts w:cs="Arial"/>
        </w:rPr>
        <w:t xml:space="preserve"> Police Department Liaison and personnel from the Bell Shelter coordinate street outreach efforts by vehicle and on foot. Street outreach, case management, and referrals are provided to homeless families and individuals through this Program. Homeless clients are guided in identifying barriers to overcoming homelessness and developing a plan to address these challenges. The team then assists clients at a highly supportive level to address those needs, including accessing mainstream services, increasing income, developing self-determination, and accessing shelter and housing. </w:t>
      </w:r>
    </w:p>
    <w:p w14:paraId="02ADB5FE" w14:textId="385DA8CF" w:rsidR="00BE059B" w:rsidRPr="000E6555" w:rsidRDefault="00FB5456">
      <w:pPr>
        <w:widowControl w:val="0"/>
        <w:rPr>
          <w:b/>
          <w:sz w:val="24"/>
          <w:szCs w:val="24"/>
        </w:rPr>
      </w:pPr>
      <w:r w:rsidRPr="000E6555">
        <w:rPr>
          <w:b/>
          <w:sz w:val="24"/>
          <w:szCs w:val="24"/>
        </w:rPr>
        <w:t>Addressing the emergency shelter and transitional housing needs of homeless persons</w:t>
      </w:r>
    </w:p>
    <w:p w14:paraId="7C21ED41" w14:textId="7514CEB3" w:rsidR="004A14AD" w:rsidRPr="00CF2A66" w:rsidRDefault="004A14AD">
      <w:pPr>
        <w:widowControl w:val="0"/>
        <w:spacing w:beforeAutospacing="1" w:afterAutospacing="1"/>
        <w:rPr>
          <w:rFonts w:cs="Arial"/>
        </w:rPr>
      </w:pPr>
      <w:r w:rsidRPr="000E6555">
        <w:rPr>
          <w:rFonts w:cs="Arial"/>
        </w:rPr>
        <w:t xml:space="preserve">The </w:t>
      </w:r>
      <w:r w:rsidR="009608F3" w:rsidRPr="000E6555">
        <w:rPr>
          <w:rFonts w:cs="Arial"/>
        </w:rPr>
        <w:t xml:space="preserve">local </w:t>
      </w:r>
      <w:r w:rsidRPr="000E6555">
        <w:rPr>
          <w:rFonts w:cs="Arial"/>
        </w:rPr>
        <w:t xml:space="preserve">Salvation Army Bell Shelter </w:t>
      </w:r>
      <w:r w:rsidR="00614546" w:rsidRPr="000E6555">
        <w:rPr>
          <w:rFonts w:cs="Arial"/>
        </w:rPr>
        <w:t xml:space="preserve">is a City partner, having previously received CDBG funding. They </w:t>
      </w:r>
      <w:r w:rsidRPr="000E6555">
        <w:rPr>
          <w:rFonts w:cs="Arial"/>
        </w:rPr>
        <w:t xml:space="preserve">provide both emergency shelter and temporary shelter to people experiencing homelessness. The shelter provides case management and other homelessness services. Homeless clients are guided in identifying barriers to overcoming homelessness and assisted in developing a plan to overcome these barriers. The team then assists clients at a highly supportive level to address those needs, including </w:t>
      </w:r>
      <w:r w:rsidRPr="00CF2A66">
        <w:rPr>
          <w:rFonts w:cs="Arial"/>
        </w:rPr>
        <w:t xml:space="preserve">accessing mainstream services, increasing income, and developing self-determination. </w:t>
      </w:r>
    </w:p>
    <w:p w14:paraId="5D2B7038" w14:textId="47E4E9B3" w:rsidR="00BE059B" w:rsidRPr="00CF2A66" w:rsidRDefault="00FB5456">
      <w:pPr>
        <w:widowControl w:val="0"/>
        <w:rPr>
          <w:b/>
          <w:sz w:val="24"/>
          <w:szCs w:val="24"/>
        </w:rPr>
      </w:pPr>
      <w:r w:rsidRPr="00CF2A66">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27C82D56" w14:textId="77777777" w:rsidR="004A14AD" w:rsidRPr="00CF2A66" w:rsidRDefault="004A14AD" w:rsidP="004A14AD">
      <w:pPr>
        <w:widowControl w:val="0"/>
        <w:spacing w:beforeAutospacing="1" w:afterAutospacing="1"/>
        <w:rPr>
          <w:rFonts w:cs="Arial"/>
        </w:rPr>
      </w:pPr>
      <w:r w:rsidRPr="00CF2A66">
        <w:rPr>
          <w:rFonts w:cs="Arial"/>
        </w:rPr>
        <w:t xml:space="preserve">The City of South Gate partners and coordinates with local nonprofit agencies, churches, and subrecipient agencies to assist the City's vulnerable populations, especially those at risk of becoming </w:t>
      </w:r>
      <w:r w:rsidRPr="00CF2A66">
        <w:rPr>
          <w:rFonts w:cs="Arial"/>
        </w:rPr>
        <w:lastRenderedPageBreak/>
        <w:t xml:space="preserve">homeless.  The City of South Gate’s homeless prevention plan includes assisting those discharged from public institutions, health facilities, foster care. </w:t>
      </w:r>
    </w:p>
    <w:p w14:paraId="078728C6" w14:textId="79D569AE" w:rsidR="003D670F" w:rsidRPr="00216569" w:rsidRDefault="00FB6A47">
      <w:pPr>
        <w:widowControl w:val="0"/>
        <w:spacing w:beforeAutospacing="1" w:afterAutospacing="1"/>
        <w:rPr>
          <w:rFonts w:cs="Arial"/>
        </w:rPr>
      </w:pPr>
      <w:r w:rsidRPr="00CF2A66">
        <w:rPr>
          <w:rFonts w:cs="Arial"/>
        </w:rPr>
        <w:t>The City</w:t>
      </w:r>
      <w:r w:rsidR="005328AC" w:rsidRPr="00CF2A66">
        <w:rPr>
          <w:rFonts w:cs="Arial"/>
        </w:rPr>
        <w:t xml:space="preserve"> </w:t>
      </w:r>
      <w:r w:rsidR="00CB3D0B" w:rsidRPr="00CF2A66">
        <w:rPr>
          <w:rFonts w:cs="Arial"/>
        </w:rPr>
        <w:t xml:space="preserve">has a history of </w:t>
      </w:r>
      <w:r w:rsidR="005328AC" w:rsidRPr="00CF2A66">
        <w:rPr>
          <w:rFonts w:cs="Arial"/>
        </w:rPr>
        <w:t>allocat</w:t>
      </w:r>
      <w:r w:rsidR="00CB3D0B" w:rsidRPr="00CF2A66">
        <w:rPr>
          <w:rFonts w:cs="Arial"/>
        </w:rPr>
        <w:t>ing</w:t>
      </w:r>
      <w:r w:rsidR="005328AC" w:rsidRPr="00CF2A66">
        <w:rPr>
          <w:rFonts w:cs="Arial"/>
        </w:rPr>
        <w:t xml:space="preserve"> CDBG funds to var</w:t>
      </w:r>
      <w:r w:rsidR="005328AC" w:rsidRPr="00B4630E">
        <w:rPr>
          <w:rFonts w:cs="Arial"/>
        </w:rPr>
        <w:t xml:space="preserve">ious public service organizations to address the multi-needs of low-income families and increase housing stability. </w:t>
      </w:r>
      <w:r w:rsidR="00EC3992" w:rsidRPr="00B4630E">
        <w:rPr>
          <w:rFonts w:cs="Arial"/>
        </w:rPr>
        <w:t>In</w:t>
      </w:r>
      <w:r w:rsidR="005328AC" w:rsidRPr="00B4630E">
        <w:rPr>
          <w:rFonts w:cs="Arial"/>
        </w:rPr>
        <w:t xml:space="preserve"> </w:t>
      </w:r>
      <w:r w:rsidR="00EC3992" w:rsidRPr="00B4630E">
        <w:rPr>
          <w:rFonts w:cs="Arial"/>
        </w:rPr>
        <w:t>p</w:t>
      </w:r>
      <w:r w:rsidR="005328AC" w:rsidRPr="00B4630E">
        <w:rPr>
          <w:rFonts w:cs="Arial"/>
        </w:rPr>
        <w:t xml:space="preserve">rogram </w:t>
      </w:r>
      <w:r w:rsidR="00EC3992" w:rsidRPr="00B4630E">
        <w:rPr>
          <w:rFonts w:cs="Arial"/>
        </w:rPr>
        <w:t>y</w:t>
      </w:r>
      <w:r w:rsidR="005328AC" w:rsidRPr="00B4630E">
        <w:rPr>
          <w:rFonts w:cs="Arial"/>
        </w:rPr>
        <w:t xml:space="preserve">ear </w:t>
      </w:r>
      <w:r w:rsidR="009B5964" w:rsidRPr="00B4630E">
        <w:t>202</w:t>
      </w:r>
      <w:r w:rsidR="00CF2A66" w:rsidRPr="00B4630E">
        <w:t>3</w:t>
      </w:r>
      <w:r w:rsidR="009B5964" w:rsidRPr="00B4630E">
        <w:t>-202</w:t>
      </w:r>
      <w:r w:rsidR="00CF2A66" w:rsidRPr="00B4630E">
        <w:t>4</w:t>
      </w:r>
      <w:r w:rsidR="009B5964" w:rsidRPr="00B4630E">
        <w:t xml:space="preserve"> </w:t>
      </w:r>
      <w:r w:rsidR="00EC3992" w:rsidRPr="00B4630E">
        <w:rPr>
          <w:rFonts w:cs="Arial"/>
        </w:rPr>
        <w:t xml:space="preserve">the City continued to provide funding to </w:t>
      </w:r>
      <w:r w:rsidR="005328AC" w:rsidRPr="00B4630E">
        <w:rPr>
          <w:rFonts w:cs="Arial"/>
        </w:rPr>
        <w:t>the Fair Housing Foundation wh</w:t>
      </w:r>
      <w:r w:rsidR="003D670F" w:rsidRPr="00B4630E">
        <w:rPr>
          <w:rFonts w:cs="Arial"/>
        </w:rPr>
        <w:t>o</w:t>
      </w:r>
      <w:r w:rsidR="005328AC" w:rsidRPr="00B4630E">
        <w:rPr>
          <w:rFonts w:cs="Arial"/>
        </w:rPr>
        <w:t xml:space="preserve"> directly work with residents and </w:t>
      </w:r>
      <w:r w:rsidR="005328AC" w:rsidRPr="00216569">
        <w:rPr>
          <w:rFonts w:cs="Arial"/>
        </w:rPr>
        <w:t xml:space="preserve">landlords to address housing issues including discriminatory claims, rent increases, and evictions. </w:t>
      </w:r>
    </w:p>
    <w:p w14:paraId="33E65E9B" w14:textId="797479D0" w:rsidR="004A14AD" w:rsidRPr="00216569" w:rsidRDefault="003D670F">
      <w:pPr>
        <w:widowControl w:val="0"/>
        <w:spacing w:beforeAutospacing="1" w:afterAutospacing="1"/>
        <w:rPr>
          <w:rFonts w:cs="Arial"/>
        </w:rPr>
      </w:pPr>
      <w:r w:rsidRPr="00216569">
        <w:rPr>
          <w:rFonts w:cs="Arial"/>
        </w:rPr>
        <w:t>Other City partners like t</w:t>
      </w:r>
      <w:r w:rsidR="001D4114" w:rsidRPr="00216569">
        <w:rPr>
          <w:rFonts w:cs="Arial"/>
        </w:rPr>
        <w:t xml:space="preserve">he Family Violence Prevention Program </w:t>
      </w:r>
      <w:r w:rsidR="00BC055D" w:rsidRPr="00216569">
        <w:rPr>
          <w:rFonts w:cs="Arial"/>
        </w:rPr>
        <w:t>assist</w:t>
      </w:r>
      <w:r w:rsidR="001D4114" w:rsidRPr="00216569">
        <w:rPr>
          <w:rFonts w:cs="Arial"/>
        </w:rPr>
        <w:t xml:space="preserve"> victims of domestic violence </w:t>
      </w:r>
      <w:r w:rsidR="00FA5133" w:rsidRPr="00216569">
        <w:rPr>
          <w:rFonts w:cs="Arial"/>
        </w:rPr>
        <w:t>to seek</w:t>
      </w:r>
      <w:r w:rsidR="001D4114" w:rsidRPr="00216569">
        <w:rPr>
          <w:rFonts w:cs="Arial"/>
        </w:rPr>
        <w:t xml:space="preserve"> resources to escape their situations while the Police Explorers offers structured activities and mentorship to keep youth engaged</w:t>
      </w:r>
      <w:r w:rsidR="000C2D74" w:rsidRPr="00216569">
        <w:rPr>
          <w:rFonts w:cs="Arial"/>
        </w:rPr>
        <w:t xml:space="preserve">. Through the </w:t>
      </w:r>
      <w:r w:rsidR="00BC055D" w:rsidRPr="00216569">
        <w:rPr>
          <w:rFonts w:cs="Arial"/>
        </w:rPr>
        <w:t xml:space="preserve">Southern California Rehabilitation </w:t>
      </w:r>
      <w:r w:rsidR="00FA5133" w:rsidRPr="00216569">
        <w:rPr>
          <w:rFonts w:cs="Arial"/>
        </w:rPr>
        <w:t xml:space="preserve">Services Home Modification Program, residents with special needs could receive assistance obtaining adaptive equipment and/or home </w:t>
      </w:r>
      <w:r w:rsidR="00216569" w:rsidRPr="00216569">
        <w:rPr>
          <w:rFonts w:cs="Arial"/>
        </w:rPr>
        <w:t xml:space="preserve">modifications. </w:t>
      </w:r>
    </w:p>
    <w:p w14:paraId="667CEEDC" w14:textId="77AB0E65" w:rsidR="00BE059B" w:rsidRPr="00216569" w:rsidRDefault="00FB5456">
      <w:pPr>
        <w:widowControl w:val="0"/>
        <w:rPr>
          <w:b/>
          <w:sz w:val="24"/>
          <w:szCs w:val="24"/>
        </w:rPr>
      </w:pPr>
      <w:r w:rsidRPr="00216569">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E40672B" w14:textId="207F2031" w:rsidR="008B3BB1" w:rsidRPr="00216569" w:rsidRDefault="008B3BB1" w:rsidP="008B3BB1">
      <w:pPr>
        <w:widowControl w:val="0"/>
        <w:spacing w:beforeAutospacing="1" w:afterAutospacing="1"/>
        <w:rPr>
          <w:rFonts w:cs="Arial"/>
        </w:rPr>
      </w:pPr>
      <w:r w:rsidRPr="00216569">
        <w:rPr>
          <w:rFonts w:cs="Arial"/>
        </w:rPr>
        <w:t>To assist the people experiencing chronic homelessness, the City collaborates with local and county agencies, including law enforcement, social services, mental health, public health, and community services.  Efforts to assist the chronic homeless include street outreach for initial contact, referral</w:t>
      </w:r>
      <w:r w:rsidR="00060568" w:rsidRPr="00216569">
        <w:rPr>
          <w:rFonts w:cs="Arial"/>
        </w:rPr>
        <w:t>s</w:t>
      </w:r>
      <w:r w:rsidRPr="00216569">
        <w:rPr>
          <w:rFonts w:cs="Arial"/>
        </w:rPr>
        <w:t xml:space="preserve"> to PATH or Salvation Army Bell Shelter for case management, homelessness services, and ultimately partnering with property owners to help people who are homeless in locating permanent housing.  </w:t>
      </w:r>
    </w:p>
    <w:p w14:paraId="78541F44" w14:textId="77777777" w:rsidR="008B3BB1" w:rsidRPr="00767897" w:rsidRDefault="008B3BB1">
      <w:pPr>
        <w:widowControl w:val="0"/>
        <w:rPr>
          <w:b/>
          <w:sz w:val="24"/>
          <w:szCs w:val="24"/>
          <w:highlight w:val="yellow"/>
        </w:rPr>
      </w:pPr>
    </w:p>
    <w:p w14:paraId="61E44895" w14:textId="77777777" w:rsidR="00BE059B" w:rsidRPr="00767897" w:rsidRDefault="00BE059B">
      <w:pPr>
        <w:widowControl w:val="0"/>
        <w:rPr>
          <w:rFonts w:cs="Arial"/>
          <w:szCs w:val="26"/>
          <w:highlight w:val="yellow"/>
        </w:rPr>
      </w:pPr>
    </w:p>
    <w:p w14:paraId="0DC17418" w14:textId="77777777" w:rsidR="00BE059B" w:rsidRPr="00216569" w:rsidRDefault="00FB5456">
      <w:pPr>
        <w:pStyle w:val="Heading2"/>
        <w:pageBreakBefore/>
        <w:widowControl w:val="0"/>
        <w:rPr>
          <w:rFonts w:ascii="Calibri" w:hAnsi="Calibri"/>
          <w:i w:val="0"/>
        </w:rPr>
      </w:pPr>
      <w:bookmarkStart w:id="8" w:name="_Toc142647851"/>
      <w:r w:rsidRPr="00216569">
        <w:rPr>
          <w:rFonts w:ascii="Calibri" w:hAnsi="Calibri"/>
          <w:i w:val="0"/>
        </w:rPr>
        <w:lastRenderedPageBreak/>
        <w:t>CR-30 - Public Housing 91.220(h); 91.320(j)</w:t>
      </w:r>
      <w:bookmarkEnd w:id="8"/>
    </w:p>
    <w:p w14:paraId="518F68C7" w14:textId="6DBD3EBB" w:rsidR="00BE059B" w:rsidRPr="00216569" w:rsidRDefault="00FB5456">
      <w:pPr>
        <w:keepNext/>
        <w:widowControl w:val="0"/>
        <w:rPr>
          <w:b/>
          <w:sz w:val="24"/>
          <w:szCs w:val="24"/>
        </w:rPr>
      </w:pPr>
      <w:r w:rsidRPr="00216569">
        <w:rPr>
          <w:b/>
          <w:sz w:val="24"/>
          <w:szCs w:val="24"/>
        </w:rPr>
        <w:t>Actions taken to address the needs of public housing</w:t>
      </w:r>
    </w:p>
    <w:p w14:paraId="2EEEB26E" w14:textId="77777777" w:rsidR="008B3BB1" w:rsidRPr="00216569" w:rsidRDefault="008B3BB1" w:rsidP="008B3BB1">
      <w:pPr>
        <w:keepNext/>
        <w:widowControl w:val="0"/>
        <w:spacing w:beforeAutospacing="1" w:afterAutospacing="1"/>
        <w:rPr>
          <w:rFonts w:cs="Arial"/>
        </w:rPr>
      </w:pPr>
      <w:r w:rsidRPr="00216569">
        <w:rPr>
          <w:rFonts w:cs="Arial"/>
        </w:rPr>
        <w:t xml:space="preserve">The City does not administer public housing programs. </w:t>
      </w:r>
    </w:p>
    <w:p w14:paraId="101C762F" w14:textId="77777777" w:rsidR="008B3BB1" w:rsidRPr="00216569" w:rsidRDefault="008B3BB1">
      <w:pPr>
        <w:keepNext/>
        <w:widowControl w:val="0"/>
        <w:rPr>
          <w:b/>
          <w:sz w:val="24"/>
          <w:szCs w:val="24"/>
        </w:rPr>
      </w:pPr>
    </w:p>
    <w:p w14:paraId="05B36CA5" w14:textId="71F6AA9C" w:rsidR="00BE059B" w:rsidRPr="00216569" w:rsidRDefault="00FB5456">
      <w:pPr>
        <w:widowControl w:val="0"/>
        <w:rPr>
          <w:b/>
          <w:sz w:val="24"/>
          <w:szCs w:val="24"/>
        </w:rPr>
      </w:pPr>
      <w:r w:rsidRPr="00216569">
        <w:rPr>
          <w:b/>
          <w:sz w:val="24"/>
          <w:szCs w:val="24"/>
        </w:rPr>
        <w:t>Actions taken to encourage public housing residents to become more involved in management and participate in homeownership</w:t>
      </w:r>
    </w:p>
    <w:p w14:paraId="47DBB3AE" w14:textId="77777777" w:rsidR="008B3BB1" w:rsidRPr="00216569" w:rsidRDefault="008B3BB1" w:rsidP="008B3BB1">
      <w:pPr>
        <w:keepNext/>
        <w:widowControl w:val="0"/>
        <w:spacing w:beforeAutospacing="1" w:afterAutospacing="1"/>
        <w:rPr>
          <w:rFonts w:cs="Arial"/>
        </w:rPr>
      </w:pPr>
      <w:r w:rsidRPr="00216569">
        <w:rPr>
          <w:rFonts w:cs="Arial"/>
        </w:rPr>
        <w:t xml:space="preserve">The City does not administer public housing programs. </w:t>
      </w:r>
    </w:p>
    <w:p w14:paraId="1EFC15C4" w14:textId="77777777" w:rsidR="008B3BB1" w:rsidRPr="00216569" w:rsidRDefault="008B3BB1">
      <w:pPr>
        <w:widowControl w:val="0"/>
        <w:rPr>
          <w:b/>
          <w:sz w:val="24"/>
          <w:szCs w:val="24"/>
        </w:rPr>
      </w:pPr>
    </w:p>
    <w:p w14:paraId="4F5B9AF5" w14:textId="10AD0771" w:rsidR="00BE059B" w:rsidRPr="00216569" w:rsidRDefault="00FB5456">
      <w:pPr>
        <w:widowControl w:val="0"/>
        <w:rPr>
          <w:b/>
          <w:sz w:val="24"/>
          <w:szCs w:val="24"/>
        </w:rPr>
      </w:pPr>
      <w:r w:rsidRPr="00216569">
        <w:rPr>
          <w:b/>
          <w:sz w:val="24"/>
          <w:szCs w:val="24"/>
        </w:rPr>
        <w:t xml:space="preserve">Actions taken to </w:t>
      </w:r>
      <w:proofErr w:type="gramStart"/>
      <w:r w:rsidRPr="00216569">
        <w:rPr>
          <w:b/>
          <w:sz w:val="24"/>
          <w:szCs w:val="24"/>
        </w:rPr>
        <w:t>provide assistance to</w:t>
      </w:r>
      <w:proofErr w:type="gramEnd"/>
      <w:r w:rsidRPr="00216569">
        <w:rPr>
          <w:b/>
          <w:sz w:val="24"/>
          <w:szCs w:val="24"/>
        </w:rPr>
        <w:t xml:space="preserve"> troubled PHAs</w:t>
      </w:r>
    </w:p>
    <w:p w14:paraId="6DD61918" w14:textId="77777777" w:rsidR="005E6482" w:rsidRPr="00216569" w:rsidRDefault="005E6482" w:rsidP="005E6482">
      <w:pPr>
        <w:keepNext/>
        <w:widowControl w:val="0"/>
        <w:spacing w:beforeAutospacing="1" w:afterAutospacing="1"/>
        <w:rPr>
          <w:rFonts w:cs="Arial"/>
        </w:rPr>
      </w:pPr>
      <w:r w:rsidRPr="00216569">
        <w:rPr>
          <w:rFonts w:cs="Arial"/>
        </w:rPr>
        <w:t xml:space="preserve">The City does not administer public housing programs. </w:t>
      </w:r>
    </w:p>
    <w:p w14:paraId="59034760" w14:textId="77777777" w:rsidR="005E6482" w:rsidRPr="00B07EE4" w:rsidRDefault="005E6482">
      <w:pPr>
        <w:widowControl w:val="0"/>
        <w:rPr>
          <w:b/>
          <w:sz w:val="24"/>
          <w:szCs w:val="24"/>
        </w:rPr>
      </w:pPr>
    </w:p>
    <w:p w14:paraId="08547882" w14:textId="77777777" w:rsidR="00BE059B" w:rsidRPr="00B07EE4" w:rsidRDefault="00FB5456">
      <w:pPr>
        <w:pStyle w:val="Heading2"/>
        <w:pageBreakBefore/>
        <w:widowControl w:val="0"/>
        <w:rPr>
          <w:rFonts w:ascii="Calibri" w:hAnsi="Calibri"/>
          <w:i w:val="0"/>
        </w:rPr>
      </w:pPr>
      <w:bookmarkStart w:id="9" w:name="_Toc142647852"/>
      <w:r w:rsidRPr="00B07EE4">
        <w:rPr>
          <w:rFonts w:ascii="Calibri" w:hAnsi="Calibri"/>
          <w:i w:val="0"/>
        </w:rPr>
        <w:lastRenderedPageBreak/>
        <w:t>CR-35 - Other Actions 91.220(j)-(k); 91.320(</w:t>
      </w:r>
      <w:proofErr w:type="spellStart"/>
      <w:r w:rsidRPr="00B07EE4">
        <w:rPr>
          <w:rFonts w:ascii="Calibri" w:hAnsi="Calibri"/>
          <w:i w:val="0"/>
        </w:rPr>
        <w:t>i</w:t>
      </w:r>
      <w:proofErr w:type="spellEnd"/>
      <w:r w:rsidRPr="00B07EE4">
        <w:rPr>
          <w:rFonts w:ascii="Calibri" w:hAnsi="Calibri"/>
          <w:i w:val="0"/>
        </w:rPr>
        <w:t>)-(j)</w:t>
      </w:r>
      <w:bookmarkEnd w:id="9"/>
    </w:p>
    <w:p w14:paraId="2B9FBBFD" w14:textId="28FE3C81" w:rsidR="00BE059B" w:rsidRPr="00B07EE4" w:rsidRDefault="00FB5456">
      <w:pPr>
        <w:widowControl w:val="0"/>
        <w:rPr>
          <w:b/>
          <w:sz w:val="24"/>
          <w:szCs w:val="24"/>
        </w:rPr>
      </w:pPr>
      <w:r w:rsidRPr="00B07EE4">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sidRPr="00B07EE4">
        <w:rPr>
          <w:b/>
          <w:sz w:val="24"/>
          <w:szCs w:val="24"/>
        </w:rPr>
        <w:t>i</w:t>
      </w:r>
      <w:proofErr w:type="spellEnd"/>
      <w:r w:rsidRPr="00B07EE4">
        <w:rPr>
          <w:b/>
          <w:sz w:val="24"/>
          <w:szCs w:val="24"/>
        </w:rPr>
        <w:t>)</w:t>
      </w:r>
    </w:p>
    <w:p w14:paraId="5ADAA85F" w14:textId="77777777" w:rsidR="00DB004E" w:rsidRPr="00B07EE4" w:rsidRDefault="00DB42DB" w:rsidP="00DB004E">
      <w:pPr>
        <w:widowControl w:val="0"/>
        <w:spacing w:beforeAutospacing="1" w:afterAutospacing="1"/>
        <w:rPr>
          <w:rFonts w:cs="Arial"/>
        </w:rPr>
      </w:pPr>
      <w:r w:rsidRPr="00B07EE4">
        <w:rPr>
          <w:rFonts w:cs="Arial"/>
        </w:rPr>
        <w:t>The City continues to pursue the following course of action to eliminate any negative effects that may result from public policies</w:t>
      </w:r>
      <w:r w:rsidR="009809F7" w:rsidRPr="00B07EE4">
        <w:rPr>
          <w:rFonts w:cs="Arial"/>
        </w:rPr>
        <w:t xml:space="preserve">. Objectives adopted </w:t>
      </w:r>
      <w:r w:rsidR="00FE0B88" w:rsidRPr="00B07EE4">
        <w:rPr>
          <w:rFonts w:cs="Arial"/>
        </w:rPr>
        <w:t xml:space="preserve">as part of the City’s Housing </w:t>
      </w:r>
      <w:r w:rsidR="00143C87" w:rsidRPr="00B07EE4">
        <w:rPr>
          <w:rFonts w:cs="Arial"/>
        </w:rPr>
        <w:t>Plan include:</w:t>
      </w:r>
    </w:p>
    <w:p w14:paraId="56FF691C" w14:textId="4C6B9B2C" w:rsidR="00BF68BE" w:rsidRPr="00B07EE4" w:rsidRDefault="00BF68BE" w:rsidP="00BF68BE">
      <w:pPr>
        <w:pStyle w:val="ListParagraph"/>
        <w:widowControl w:val="0"/>
        <w:numPr>
          <w:ilvl w:val="0"/>
          <w:numId w:val="22"/>
        </w:numPr>
        <w:spacing w:beforeAutospacing="1" w:afterAutospacing="1"/>
        <w:rPr>
          <w:rFonts w:cs="Arial"/>
        </w:rPr>
      </w:pPr>
      <w:r w:rsidRPr="00B07EE4">
        <w:rPr>
          <w:rFonts w:cs="Arial"/>
        </w:rPr>
        <w:t xml:space="preserve">Remove or mitigate City policies, regulations, and procedures that serve to constrain the development of housing </w:t>
      </w:r>
      <w:r w:rsidR="00864D34" w:rsidRPr="00B07EE4">
        <w:rPr>
          <w:rFonts w:cs="Arial"/>
        </w:rPr>
        <w:t xml:space="preserve">affordable to lower and moderate-income households. </w:t>
      </w:r>
    </w:p>
    <w:p w14:paraId="5084DFAF" w14:textId="298E34F6" w:rsidR="00BF68BE" w:rsidRPr="00B07EE4" w:rsidRDefault="00864D34" w:rsidP="00DB004E">
      <w:pPr>
        <w:pStyle w:val="ListParagraph"/>
        <w:widowControl w:val="0"/>
        <w:numPr>
          <w:ilvl w:val="0"/>
          <w:numId w:val="22"/>
        </w:numPr>
        <w:spacing w:beforeAutospacing="1" w:afterAutospacing="1"/>
        <w:rPr>
          <w:rFonts w:cs="Arial"/>
        </w:rPr>
      </w:pPr>
      <w:r w:rsidRPr="00B07EE4">
        <w:rPr>
          <w:rFonts w:cs="Arial"/>
        </w:rPr>
        <w:t xml:space="preserve">Provide </w:t>
      </w:r>
      <w:r w:rsidR="00DB5C1B" w:rsidRPr="00B07EE4">
        <w:rPr>
          <w:rFonts w:cs="Arial"/>
        </w:rPr>
        <w:t xml:space="preserve">incentives for the construction of housing affordable to the workforce. </w:t>
      </w:r>
    </w:p>
    <w:p w14:paraId="29FBAB8F" w14:textId="7B21E65D" w:rsidR="00BE059B" w:rsidRPr="00B07EE4" w:rsidRDefault="00FB5456">
      <w:pPr>
        <w:widowControl w:val="0"/>
        <w:rPr>
          <w:b/>
          <w:sz w:val="24"/>
          <w:szCs w:val="24"/>
        </w:rPr>
      </w:pPr>
      <w:r w:rsidRPr="00B07EE4">
        <w:rPr>
          <w:b/>
          <w:sz w:val="24"/>
          <w:szCs w:val="24"/>
        </w:rPr>
        <w:t>Actions taken to address obstacles to meeting underserved needs.  91.220(k); 91.320(j)</w:t>
      </w:r>
    </w:p>
    <w:p w14:paraId="43C9CEAC" w14:textId="00608D33" w:rsidR="00DB42DB" w:rsidRPr="00B07EE4" w:rsidRDefault="00DB42DB" w:rsidP="00DB42DB">
      <w:pPr>
        <w:widowControl w:val="0"/>
        <w:spacing w:beforeAutospacing="1" w:afterAutospacing="1"/>
        <w:rPr>
          <w:rFonts w:cs="Arial"/>
        </w:rPr>
      </w:pPr>
      <w:r w:rsidRPr="00B07EE4">
        <w:rPr>
          <w:rFonts w:cs="Arial"/>
        </w:rPr>
        <w:t xml:space="preserve">The City of South Gate continues to </w:t>
      </w:r>
      <w:r w:rsidR="00444DEB" w:rsidRPr="00B07EE4">
        <w:rPr>
          <w:rFonts w:cs="Arial"/>
        </w:rPr>
        <w:t>allocate</w:t>
      </w:r>
      <w:r w:rsidRPr="00B07EE4">
        <w:rPr>
          <w:rFonts w:cs="Arial"/>
        </w:rPr>
        <w:t xml:space="preserve"> CDBG funds on various activities that meet underserved needs. These programs provided new or expanded accessibility, affordability, sustainability to decent housing, improved public facilities, and a suitable living environment for low-income persons. Such programs include housing rehabilitation programs, health, public services, and fair housing services.</w:t>
      </w:r>
    </w:p>
    <w:p w14:paraId="300A72CE" w14:textId="77777777" w:rsidR="00DB42DB" w:rsidRPr="00B07EE4" w:rsidRDefault="00DB42DB" w:rsidP="00DB42DB">
      <w:pPr>
        <w:widowControl w:val="0"/>
        <w:spacing w:beforeAutospacing="1" w:afterAutospacing="1"/>
        <w:rPr>
          <w:rFonts w:cs="Arial"/>
        </w:rPr>
      </w:pPr>
      <w:r w:rsidRPr="00B07EE4">
        <w:rPr>
          <w:rFonts w:cs="Arial"/>
        </w:rPr>
        <w:t>To address the continuing needs of the underserved community, the City promotes its housing and community service programs citywide in both English and Spanish using the Chamber of Commerce, local newspapers, city newsletter, City website, and community events to promote all services and programs to low-income residents of South Gate.</w:t>
      </w:r>
    </w:p>
    <w:p w14:paraId="36F14DD7" w14:textId="2178CE3E" w:rsidR="00BE059B" w:rsidRPr="00B07EE4" w:rsidRDefault="00FB5456">
      <w:pPr>
        <w:widowControl w:val="0"/>
        <w:rPr>
          <w:b/>
          <w:sz w:val="24"/>
          <w:szCs w:val="24"/>
        </w:rPr>
      </w:pPr>
      <w:r w:rsidRPr="00B07EE4">
        <w:rPr>
          <w:b/>
          <w:sz w:val="24"/>
          <w:szCs w:val="24"/>
        </w:rPr>
        <w:t>Actions taken to reduce lead-based paint hazards. 91.220(k); 91.320(j)</w:t>
      </w:r>
    </w:p>
    <w:p w14:paraId="5F9C9672" w14:textId="1735BE7D" w:rsidR="00DB42DB" w:rsidRPr="00B07EE4" w:rsidRDefault="00DB42DB" w:rsidP="00DB42DB">
      <w:pPr>
        <w:widowControl w:val="0"/>
        <w:spacing w:beforeAutospacing="1" w:afterAutospacing="1"/>
        <w:rPr>
          <w:rFonts w:cs="Arial"/>
        </w:rPr>
      </w:pPr>
      <w:r w:rsidRPr="00B07EE4">
        <w:rPr>
          <w:rFonts w:cs="Arial"/>
        </w:rPr>
        <w:t xml:space="preserve">Lead-based paint hazard education is distributed through various City efforts which include, Section 8 Housing Choice Voucher (HCV) inspections, distribution of pamphlets (E.g., </w:t>
      </w:r>
      <w:r w:rsidRPr="00B07EE4">
        <w:rPr>
          <w:rFonts w:cs="Arial"/>
          <w:i/>
          <w:iCs/>
        </w:rPr>
        <w:t>Protect Your Family From Lead In Your Home</w:t>
      </w:r>
      <w:r w:rsidRPr="00B07EE4">
        <w:rPr>
          <w:rFonts w:cs="Arial"/>
        </w:rPr>
        <w:t xml:space="preserve">), among other pamphlets and announcements, on the City Website.  All CDBG, HOME, and HCV funded housing programs and projects have incorporated lead-based paint hazard reduction efforts such as conducting inspections and assessments on all properties built before January 1st, </w:t>
      </w:r>
      <w:r w:rsidR="00FB6A47" w:rsidRPr="00B07EE4">
        <w:rPr>
          <w:rFonts w:cs="Arial"/>
        </w:rPr>
        <w:t>1978,</w:t>
      </w:r>
      <w:r w:rsidRPr="00B07EE4">
        <w:rPr>
          <w:rFonts w:cs="Arial"/>
        </w:rPr>
        <w:t xml:space="preserve"> to test for lead. When units test positive for lead, certified contractors are hired for remediation and abatement of the lead.</w:t>
      </w:r>
    </w:p>
    <w:p w14:paraId="6243F01E" w14:textId="5E72A360" w:rsidR="00BE059B" w:rsidRPr="00B07EE4" w:rsidRDefault="00FB5456">
      <w:pPr>
        <w:widowControl w:val="0"/>
        <w:rPr>
          <w:b/>
          <w:sz w:val="24"/>
          <w:szCs w:val="24"/>
        </w:rPr>
      </w:pPr>
      <w:r w:rsidRPr="00B07EE4">
        <w:rPr>
          <w:b/>
          <w:sz w:val="24"/>
          <w:szCs w:val="24"/>
        </w:rPr>
        <w:t>Actions taken to reduce the number of poverty-level families. 91.220(k); 91.320(j)</w:t>
      </w:r>
    </w:p>
    <w:p w14:paraId="674AF9C5" w14:textId="41E30A92" w:rsidR="00D62442" w:rsidRPr="00B07EE4" w:rsidRDefault="00D62442" w:rsidP="00D62442">
      <w:pPr>
        <w:widowControl w:val="0"/>
        <w:spacing w:beforeAutospacing="1" w:afterAutospacing="1"/>
        <w:rPr>
          <w:rFonts w:cs="Arial"/>
        </w:rPr>
      </w:pPr>
      <w:r w:rsidRPr="00B07EE4">
        <w:rPr>
          <w:rFonts w:cs="Arial"/>
        </w:rPr>
        <w:t xml:space="preserve">The City </w:t>
      </w:r>
      <w:r w:rsidR="00B07EE4" w:rsidRPr="00B07EE4">
        <w:rPr>
          <w:rFonts w:cs="Arial"/>
        </w:rPr>
        <w:t>engaged in</w:t>
      </w:r>
      <w:r w:rsidRPr="00B07EE4">
        <w:rPr>
          <w:rFonts w:cs="Arial"/>
        </w:rPr>
        <w:t xml:space="preserve"> the following during </w:t>
      </w:r>
      <w:r w:rsidR="00B07EE4" w:rsidRPr="00B07EE4">
        <w:rPr>
          <w:rFonts w:cs="Arial"/>
        </w:rPr>
        <w:t>the program year</w:t>
      </w:r>
      <w:r w:rsidR="0091067D" w:rsidRPr="00B07EE4">
        <w:rPr>
          <w:rFonts w:cs="Arial"/>
        </w:rPr>
        <w:t xml:space="preserve"> </w:t>
      </w:r>
      <w:r w:rsidRPr="00B07EE4">
        <w:rPr>
          <w:rFonts w:cs="Arial"/>
        </w:rPr>
        <w:t>to reduce the number of poverty-level families:</w:t>
      </w:r>
    </w:p>
    <w:p w14:paraId="019107DB" w14:textId="42A1C7B3" w:rsidR="00D35FE5" w:rsidRPr="00450CAB" w:rsidRDefault="00D62442" w:rsidP="00D35FE5">
      <w:pPr>
        <w:widowControl w:val="0"/>
        <w:numPr>
          <w:ilvl w:val="0"/>
          <w:numId w:val="3"/>
        </w:numPr>
        <w:spacing w:beforeAutospacing="1" w:afterAutospacing="1"/>
        <w:rPr>
          <w:rFonts w:cs="Arial"/>
        </w:rPr>
      </w:pPr>
      <w:r w:rsidRPr="00450CAB">
        <w:rPr>
          <w:rFonts w:cs="Arial"/>
        </w:rPr>
        <w:t xml:space="preserve">Funded the Family Violence Prevention and Education Program to assist </w:t>
      </w:r>
      <w:r w:rsidR="00D35FE5" w:rsidRPr="00450CAB">
        <w:rPr>
          <w:rFonts w:cs="Arial"/>
        </w:rPr>
        <w:t xml:space="preserve">persons and </w:t>
      </w:r>
      <w:r w:rsidRPr="00450CAB">
        <w:rPr>
          <w:rFonts w:cs="Arial"/>
        </w:rPr>
        <w:t xml:space="preserve">families </w:t>
      </w:r>
      <w:r w:rsidRPr="00450CAB">
        <w:rPr>
          <w:rFonts w:cs="Arial"/>
        </w:rPr>
        <w:lastRenderedPageBreak/>
        <w:t xml:space="preserve">experiencing domestic </w:t>
      </w:r>
      <w:r w:rsidR="00D35FE5" w:rsidRPr="00450CAB">
        <w:rPr>
          <w:rFonts w:cs="Arial"/>
        </w:rPr>
        <w:t>violence and finding resources</w:t>
      </w:r>
      <w:r w:rsidR="001168F5" w:rsidRPr="00450CAB">
        <w:rPr>
          <w:rFonts w:cs="Arial"/>
        </w:rPr>
        <w:t>.</w:t>
      </w:r>
    </w:p>
    <w:p w14:paraId="6EF27A4E" w14:textId="5376EAAE" w:rsidR="00D62442" w:rsidRPr="00450CAB" w:rsidRDefault="00D35FE5" w:rsidP="00D35FE5">
      <w:pPr>
        <w:widowControl w:val="0"/>
        <w:numPr>
          <w:ilvl w:val="0"/>
          <w:numId w:val="3"/>
        </w:numPr>
        <w:spacing w:beforeAutospacing="1" w:afterAutospacing="1"/>
        <w:rPr>
          <w:rFonts w:cs="Arial"/>
        </w:rPr>
      </w:pPr>
      <w:r w:rsidRPr="00450CAB">
        <w:rPr>
          <w:rFonts w:cs="Arial"/>
        </w:rPr>
        <w:t>Contracted with the Fair Housing Foundation to assist with housing and tenancy issues to prevent evictions, address housing discrimination, and increase housing stability</w:t>
      </w:r>
      <w:r w:rsidR="001168F5" w:rsidRPr="00450CAB">
        <w:rPr>
          <w:rFonts w:cs="Arial"/>
        </w:rPr>
        <w:t>.</w:t>
      </w:r>
    </w:p>
    <w:p w14:paraId="635FA5E2" w14:textId="4D782ED5" w:rsidR="00BE059B" w:rsidRPr="00450CAB" w:rsidRDefault="00FB5456">
      <w:pPr>
        <w:widowControl w:val="0"/>
        <w:rPr>
          <w:b/>
          <w:sz w:val="24"/>
          <w:szCs w:val="24"/>
        </w:rPr>
      </w:pPr>
      <w:r w:rsidRPr="00450CAB">
        <w:rPr>
          <w:b/>
          <w:sz w:val="24"/>
          <w:szCs w:val="24"/>
        </w:rPr>
        <w:t>Actions taken to develop institutional structure. 91.220(k); 91.320(j)</w:t>
      </w:r>
    </w:p>
    <w:p w14:paraId="0D14C69C" w14:textId="3CD3F6D9" w:rsidR="00D35FE5" w:rsidRPr="00450CAB" w:rsidRDefault="00D35FE5" w:rsidP="00D35FE5">
      <w:pPr>
        <w:widowControl w:val="0"/>
        <w:spacing w:beforeAutospacing="1" w:afterAutospacing="1"/>
        <w:rPr>
          <w:rFonts w:cs="Arial"/>
        </w:rPr>
      </w:pPr>
      <w:r w:rsidRPr="00450CAB">
        <w:rPr>
          <w:rFonts w:cs="Arial"/>
        </w:rPr>
        <w:t xml:space="preserve">The City's efforts to eliminate institutional gaps and enhance </w:t>
      </w:r>
      <w:r w:rsidR="0091067D" w:rsidRPr="00450CAB">
        <w:rPr>
          <w:rFonts w:cs="Arial"/>
        </w:rPr>
        <w:t xml:space="preserve">the </w:t>
      </w:r>
      <w:r w:rsidRPr="00450CAB">
        <w:rPr>
          <w:rFonts w:cs="Arial"/>
        </w:rPr>
        <w:t>coordination of programs includes working closely with other governmental entities to determine households' critical needs based on limited resources and expanding demand for services.  The City continues its outreach efforts through public meetings and public hearings with the Citizens Advisory Committee to solicit public comments on the distribution of CDBG funds.</w:t>
      </w:r>
    </w:p>
    <w:p w14:paraId="71141673" w14:textId="77777777" w:rsidR="00D35FE5" w:rsidRPr="00450CAB" w:rsidRDefault="00D35FE5" w:rsidP="00D35FE5">
      <w:pPr>
        <w:widowControl w:val="0"/>
        <w:spacing w:beforeAutospacing="1" w:afterAutospacing="1"/>
        <w:rPr>
          <w:rFonts w:cs="Arial"/>
        </w:rPr>
      </w:pPr>
      <w:r w:rsidRPr="00450CAB">
        <w:rPr>
          <w:rFonts w:cs="Arial"/>
        </w:rPr>
        <w:t>As part of its grant administration, the City monitors its subrecipients' performance in meeting both resident needs and program and CDBG compliance.</w:t>
      </w:r>
    </w:p>
    <w:p w14:paraId="2AAE3A6E" w14:textId="77777777" w:rsidR="00D35FE5" w:rsidRPr="003731A2" w:rsidRDefault="00D35FE5" w:rsidP="00D35FE5">
      <w:pPr>
        <w:widowControl w:val="0"/>
        <w:spacing w:beforeAutospacing="1" w:afterAutospacing="1"/>
        <w:rPr>
          <w:rFonts w:cs="Arial"/>
        </w:rPr>
      </w:pPr>
      <w:r w:rsidRPr="00450CAB">
        <w:rPr>
          <w:rFonts w:cs="Arial"/>
        </w:rPr>
        <w:t xml:space="preserve">The City will continue to fund the Fair Housing Foundation to promote, educate, and enforce fair </w:t>
      </w:r>
      <w:r w:rsidRPr="003731A2">
        <w:rPr>
          <w:rFonts w:cs="Arial"/>
        </w:rPr>
        <w:t>housing in the community.</w:t>
      </w:r>
    </w:p>
    <w:p w14:paraId="79046327" w14:textId="6B2ECC34" w:rsidR="00D35FE5" w:rsidRPr="00CF367A" w:rsidRDefault="00D35FE5" w:rsidP="00D35FE5">
      <w:pPr>
        <w:widowControl w:val="0"/>
        <w:spacing w:beforeAutospacing="1" w:afterAutospacing="1"/>
        <w:rPr>
          <w:rFonts w:cs="Arial"/>
        </w:rPr>
      </w:pPr>
      <w:r w:rsidRPr="003731A2">
        <w:rPr>
          <w:rFonts w:cs="Arial"/>
        </w:rPr>
        <w:t>The City will continue to coordinate and share ideas with residents, affordable housing providers, other local government entities, and social service agencies to maximize planned activities' effectiveness.  The City will also continue to coordinate services, as appropriate, with surrounding HUD entitlement com</w:t>
      </w:r>
      <w:r w:rsidRPr="00CF367A">
        <w:rPr>
          <w:rFonts w:cs="Arial"/>
        </w:rPr>
        <w:t>munities.</w:t>
      </w:r>
    </w:p>
    <w:p w14:paraId="16A97C45" w14:textId="004F3C46" w:rsidR="00D35FE5" w:rsidRPr="00CF367A" w:rsidRDefault="00D35FE5">
      <w:pPr>
        <w:widowControl w:val="0"/>
        <w:spacing w:beforeAutospacing="1" w:afterAutospacing="1"/>
        <w:rPr>
          <w:rFonts w:cs="Arial"/>
        </w:rPr>
      </w:pPr>
      <w:r w:rsidRPr="00CF367A">
        <w:rPr>
          <w:rFonts w:cs="Arial"/>
        </w:rPr>
        <w:t xml:space="preserve">The City encourages intra- and inter-departmental discussions to identify effective service delivery options and ideas.  Within the Community Development Department, staff conducts regular monthly meetings to discuss projects and programs.  Through daily contact and working relations, staff </w:t>
      </w:r>
      <w:r w:rsidR="0091067D" w:rsidRPr="00CF367A">
        <w:rPr>
          <w:rFonts w:cs="Arial"/>
        </w:rPr>
        <w:t>continues</w:t>
      </w:r>
      <w:r w:rsidRPr="00CF367A">
        <w:rPr>
          <w:rFonts w:cs="Arial"/>
        </w:rPr>
        <w:t xml:space="preserve"> to implement programs and services, provide sufficient financial resources, and track concerns.  This process allows easy access to tracking building activities, housing conditions, code requirements, zoning, and other demographic data.</w:t>
      </w:r>
    </w:p>
    <w:p w14:paraId="676BBA06" w14:textId="030EF65A" w:rsidR="00BE059B" w:rsidRPr="00CF367A" w:rsidRDefault="00FB5456">
      <w:pPr>
        <w:widowControl w:val="0"/>
        <w:rPr>
          <w:b/>
          <w:sz w:val="24"/>
          <w:szCs w:val="24"/>
        </w:rPr>
      </w:pPr>
      <w:r w:rsidRPr="00CF367A">
        <w:rPr>
          <w:b/>
          <w:sz w:val="24"/>
          <w:szCs w:val="24"/>
        </w:rPr>
        <w:t>Actions taken to enhance coordination between public and private housing and social service agencies. 91.220(k); 91.320(j)</w:t>
      </w:r>
    </w:p>
    <w:p w14:paraId="700D93F0" w14:textId="7CEAEAFF" w:rsidR="00C82CFF" w:rsidRPr="00CF367A" w:rsidRDefault="00C82CFF">
      <w:pPr>
        <w:widowControl w:val="0"/>
        <w:spacing w:beforeAutospacing="1" w:afterAutospacing="1"/>
        <w:rPr>
          <w:rFonts w:cs="Arial"/>
        </w:rPr>
      </w:pPr>
      <w:r w:rsidRPr="00CF367A">
        <w:rPr>
          <w:rFonts w:cs="Arial"/>
        </w:rPr>
        <w:t>The City has developed an inventory of public and private housing, health, and social services agencies.  The City regularly updates the inventory and maintains a point of contact for each agency.  Additionally, the City </w:t>
      </w:r>
      <w:r w:rsidR="00DD7501" w:rsidRPr="00CF367A">
        <w:rPr>
          <w:rFonts w:cs="Arial"/>
        </w:rPr>
        <w:t>maintains</w:t>
      </w:r>
      <w:r w:rsidRPr="00CF367A">
        <w:rPr>
          <w:rFonts w:cs="Arial"/>
        </w:rPr>
        <w:t xml:space="preserve"> the agency-specific 5-Year Consolidated and Annual Action Plans in a resource binder to facilitate coordination </w:t>
      </w:r>
      <w:r w:rsidR="00DD7501" w:rsidRPr="00CF367A">
        <w:rPr>
          <w:rFonts w:cs="Arial"/>
        </w:rPr>
        <w:t>for</w:t>
      </w:r>
      <w:r w:rsidRPr="00CF367A">
        <w:rPr>
          <w:rFonts w:cs="Arial"/>
        </w:rPr>
        <w:t xml:space="preserve"> future program years.</w:t>
      </w:r>
    </w:p>
    <w:p w14:paraId="2ACC59BD" w14:textId="4A2C9F42" w:rsidR="00BE059B" w:rsidRPr="00CF367A" w:rsidRDefault="00FB5456">
      <w:pPr>
        <w:widowControl w:val="0"/>
        <w:rPr>
          <w:b/>
          <w:sz w:val="24"/>
          <w:szCs w:val="24"/>
        </w:rPr>
      </w:pPr>
      <w:r w:rsidRPr="00CF367A">
        <w:rPr>
          <w:b/>
          <w:sz w:val="24"/>
          <w:szCs w:val="24"/>
        </w:rPr>
        <w:t>Identify actions taken to overcome the effects of any impediments identified in the jurisdictions analysis of impediments to fair housing choice.  91.520(a)</w:t>
      </w:r>
    </w:p>
    <w:p w14:paraId="238690FA" w14:textId="2A0FCB26" w:rsidR="00C82CFF" w:rsidRPr="00150CA7" w:rsidRDefault="00C82CFF" w:rsidP="00C82CFF">
      <w:pPr>
        <w:spacing w:before="100" w:beforeAutospacing="1" w:after="100" w:afterAutospacing="1" w:line="240" w:lineRule="auto"/>
        <w:jc w:val="both"/>
        <w:rPr>
          <w:rFonts w:asciiTheme="minorHAnsi" w:eastAsia="Times New Roman" w:hAnsiTheme="minorHAnsi" w:cstheme="minorBidi"/>
          <w:color w:val="000000" w:themeColor="text1"/>
        </w:rPr>
      </w:pPr>
      <w:r w:rsidRPr="00150CA7">
        <w:rPr>
          <w:rFonts w:asciiTheme="minorHAnsi" w:eastAsia="Times New Roman" w:hAnsiTheme="minorHAnsi" w:cstheme="minorBidi"/>
          <w:color w:val="000000" w:themeColor="text1"/>
        </w:rPr>
        <w:lastRenderedPageBreak/>
        <w:t xml:space="preserve">HUD regulations require that the City prepare an Analysis of Impediments to Fair Housing </w:t>
      </w:r>
      <w:r w:rsidR="00DD7501" w:rsidRPr="00150CA7">
        <w:rPr>
          <w:rFonts w:asciiTheme="minorHAnsi" w:eastAsia="Times New Roman" w:hAnsiTheme="minorHAnsi" w:cstheme="minorBidi"/>
          <w:color w:val="000000" w:themeColor="text1"/>
        </w:rPr>
        <w:t>Choice</w:t>
      </w:r>
      <w:r w:rsidRPr="00150CA7">
        <w:rPr>
          <w:rFonts w:asciiTheme="minorHAnsi" w:eastAsia="Times New Roman" w:hAnsiTheme="minorHAnsi" w:cstheme="minorBidi"/>
          <w:color w:val="000000" w:themeColor="text1"/>
        </w:rPr>
        <w:t xml:space="preserve"> (Al) every five years. In 2020 the City updated its AI; it includes the City's </w:t>
      </w:r>
      <w:r w:rsidRPr="00150CA7">
        <w:rPr>
          <w:rFonts w:asciiTheme="minorHAnsi" w:eastAsia="Times New Roman" w:hAnsiTheme="minorHAnsi" w:cstheme="minorBidi"/>
          <w:i/>
          <w:iCs/>
          <w:color w:val="000000" w:themeColor="text1"/>
        </w:rPr>
        <w:t>Fair Housing Action Plan</w:t>
      </w:r>
      <w:r w:rsidRPr="00150CA7">
        <w:rPr>
          <w:rFonts w:asciiTheme="minorHAnsi" w:eastAsia="Times New Roman" w:hAnsiTheme="minorHAnsi" w:cstheme="minorBidi"/>
          <w:color w:val="000000" w:themeColor="text1"/>
        </w:rPr>
        <w:t xml:space="preserve">, which outlines </w:t>
      </w:r>
      <w:r w:rsidR="00D65F2F" w:rsidRPr="00150CA7">
        <w:rPr>
          <w:rFonts w:asciiTheme="minorHAnsi" w:eastAsia="Times New Roman" w:hAnsiTheme="minorHAnsi" w:cstheme="minorBidi"/>
          <w:color w:val="000000" w:themeColor="text1"/>
        </w:rPr>
        <w:t>its</w:t>
      </w:r>
      <w:r w:rsidRPr="00150CA7">
        <w:rPr>
          <w:rFonts w:asciiTheme="minorHAnsi" w:eastAsia="Times New Roman" w:hAnsiTheme="minorHAnsi" w:cstheme="minorBidi"/>
          <w:color w:val="000000" w:themeColor="text1"/>
        </w:rPr>
        <w:t xml:space="preserve"> actions to eliminate </w:t>
      </w:r>
      <w:r w:rsidR="00DD7501" w:rsidRPr="00150CA7">
        <w:rPr>
          <w:rFonts w:asciiTheme="minorHAnsi" w:eastAsia="Times New Roman" w:hAnsiTheme="minorHAnsi" w:cstheme="minorBidi"/>
          <w:color w:val="000000" w:themeColor="text1"/>
        </w:rPr>
        <w:t xml:space="preserve">and </w:t>
      </w:r>
      <w:r w:rsidRPr="00150CA7">
        <w:rPr>
          <w:rFonts w:asciiTheme="minorHAnsi" w:eastAsia="Times New Roman" w:hAnsiTheme="minorHAnsi" w:cstheme="minorBidi"/>
          <w:color w:val="000000" w:themeColor="text1"/>
        </w:rPr>
        <w:t xml:space="preserve">ameliorate impediments to fair housing issues and choice. As part of its </w:t>
      </w:r>
      <w:r w:rsidRPr="00150CA7">
        <w:rPr>
          <w:rFonts w:asciiTheme="minorHAnsi" w:eastAsia="Times New Roman" w:hAnsiTheme="minorHAnsi" w:cstheme="minorBidi"/>
          <w:i/>
          <w:iCs/>
          <w:color w:val="000000" w:themeColor="text1"/>
        </w:rPr>
        <w:t xml:space="preserve">Fair Housing Action Plan, </w:t>
      </w:r>
      <w:r w:rsidRPr="00150CA7">
        <w:rPr>
          <w:rFonts w:asciiTheme="minorHAnsi" w:eastAsia="Times New Roman" w:hAnsiTheme="minorHAnsi" w:cstheme="minorBidi"/>
          <w:color w:val="000000" w:themeColor="text1"/>
        </w:rPr>
        <w:t>the City identified the following actions to overcome the effects of impediments identified:</w:t>
      </w:r>
    </w:p>
    <w:p w14:paraId="7C748E39" w14:textId="77777777" w:rsidR="00C82CFF" w:rsidRPr="00150CA7" w:rsidRDefault="00C82CFF" w:rsidP="00C82CFF">
      <w:pPr>
        <w:pStyle w:val="Default"/>
        <w:numPr>
          <w:ilvl w:val="0"/>
          <w:numId w:val="20"/>
        </w:numPr>
        <w:rPr>
          <w:rFonts w:asciiTheme="minorHAnsi" w:hAnsiTheme="minorHAnsi" w:cstheme="minorHAnsi"/>
          <w:sz w:val="22"/>
          <w:szCs w:val="22"/>
        </w:rPr>
      </w:pPr>
      <w:r w:rsidRPr="00150CA7">
        <w:rPr>
          <w:rFonts w:asciiTheme="minorHAnsi" w:hAnsiTheme="minorHAnsi" w:cstheme="minorHAnsi"/>
          <w:sz w:val="22"/>
          <w:szCs w:val="22"/>
        </w:rPr>
        <w:t xml:space="preserve">Continue to work with housing providers to build housing in areas near jobs, commercial amenities, public facilities, and public transit. </w:t>
      </w:r>
    </w:p>
    <w:p w14:paraId="1E8124E2" w14:textId="77777777" w:rsidR="00C82CFF" w:rsidRPr="00150CA7" w:rsidRDefault="00C82CFF" w:rsidP="00C82CFF">
      <w:pPr>
        <w:pStyle w:val="Default"/>
        <w:rPr>
          <w:rFonts w:asciiTheme="minorHAnsi" w:hAnsiTheme="minorHAnsi" w:cstheme="minorHAnsi"/>
          <w:sz w:val="22"/>
          <w:szCs w:val="22"/>
        </w:rPr>
      </w:pPr>
    </w:p>
    <w:p w14:paraId="5B70B576" w14:textId="77777777" w:rsidR="00C82CFF" w:rsidRPr="00150CA7" w:rsidRDefault="00C82CFF" w:rsidP="00C82CFF">
      <w:pPr>
        <w:pStyle w:val="Default"/>
        <w:numPr>
          <w:ilvl w:val="0"/>
          <w:numId w:val="19"/>
        </w:numPr>
        <w:rPr>
          <w:rFonts w:asciiTheme="minorHAnsi" w:hAnsiTheme="minorHAnsi" w:cstheme="minorHAnsi"/>
          <w:sz w:val="22"/>
          <w:szCs w:val="22"/>
        </w:rPr>
      </w:pPr>
      <w:r w:rsidRPr="00150CA7">
        <w:rPr>
          <w:rFonts w:asciiTheme="minorHAnsi" w:hAnsiTheme="minorHAnsi" w:cstheme="minorHAnsi"/>
          <w:sz w:val="22"/>
          <w:szCs w:val="22"/>
        </w:rPr>
        <w:t xml:space="preserve">Continue to work with housing providers to avoid concentrating affordable housing in any one area of the City. </w:t>
      </w:r>
    </w:p>
    <w:p w14:paraId="0DEE5506" w14:textId="77777777" w:rsidR="00C82CFF" w:rsidRPr="00150CA7" w:rsidRDefault="00C82CFF" w:rsidP="00C82CFF">
      <w:pPr>
        <w:pStyle w:val="Default"/>
        <w:rPr>
          <w:rFonts w:asciiTheme="minorHAnsi" w:hAnsiTheme="minorHAnsi" w:cstheme="minorHAnsi"/>
          <w:sz w:val="22"/>
          <w:szCs w:val="22"/>
        </w:rPr>
      </w:pPr>
    </w:p>
    <w:p w14:paraId="0B4082E7" w14:textId="50F2855A" w:rsidR="00C82CFF" w:rsidRPr="00150CA7" w:rsidRDefault="00C82CFF" w:rsidP="00C82CFF">
      <w:pPr>
        <w:pStyle w:val="Default"/>
        <w:numPr>
          <w:ilvl w:val="0"/>
          <w:numId w:val="19"/>
        </w:numPr>
        <w:rPr>
          <w:rFonts w:asciiTheme="minorHAnsi" w:hAnsiTheme="minorHAnsi" w:cstheme="minorHAnsi"/>
          <w:sz w:val="22"/>
          <w:szCs w:val="22"/>
        </w:rPr>
      </w:pPr>
      <w:r w:rsidRPr="00150CA7">
        <w:rPr>
          <w:rFonts w:asciiTheme="minorHAnsi" w:hAnsiTheme="minorHAnsi" w:cstheme="minorHAnsi"/>
          <w:sz w:val="22"/>
          <w:szCs w:val="22"/>
        </w:rPr>
        <w:t xml:space="preserve">Continue to implement revitalization plans in older, </w:t>
      </w:r>
      <w:r w:rsidR="00D65F2F" w:rsidRPr="00150CA7">
        <w:rPr>
          <w:rFonts w:asciiTheme="minorHAnsi" w:hAnsiTheme="minorHAnsi" w:cstheme="minorHAnsi"/>
          <w:sz w:val="22"/>
          <w:szCs w:val="22"/>
        </w:rPr>
        <w:t>lower-income</w:t>
      </w:r>
      <w:r w:rsidRPr="00150CA7">
        <w:rPr>
          <w:rFonts w:asciiTheme="minorHAnsi" w:hAnsiTheme="minorHAnsi" w:cstheme="minorHAnsi"/>
          <w:sz w:val="22"/>
          <w:szCs w:val="22"/>
        </w:rPr>
        <w:t xml:space="preserve"> neighborhoods. </w:t>
      </w:r>
    </w:p>
    <w:p w14:paraId="44EA827A" w14:textId="77777777" w:rsidR="00C82CFF" w:rsidRPr="00150CA7" w:rsidRDefault="00C82CFF" w:rsidP="00C82CFF">
      <w:pPr>
        <w:pStyle w:val="Default"/>
        <w:rPr>
          <w:rFonts w:asciiTheme="minorHAnsi" w:hAnsiTheme="minorHAnsi" w:cstheme="minorHAnsi"/>
          <w:sz w:val="22"/>
          <w:szCs w:val="22"/>
        </w:rPr>
      </w:pPr>
    </w:p>
    <w:p w14:paraId="739C62C0" w14:textId="5E8AAE16" w:rsidR="00C82CFF" w:rsidRPr="00150CA7" w:rsidRDefault="00C82CFF" w:rsidP="00C82CFF">
      <w:pPr>
        <w:pStyle w:val="Default"/>
        <w:numPr>
          <w:ilvl w:val="0"/>
          <w:numId w:val="19"/>
        </w:numPr>
        <w:rPr>
          <w:rFonts w:asciiTheme="minorHAnsi" w:hAnsiTheme="minorHAnsi" w:cstheme="minorHAnsi"/>
          <w:sz w:val="22"/>
          <w:szCs w:val="22"/>
        </w:rPr>
      </w:pPr>
      <w:r w:rsidRPr="00150CA7">
        <w:rPr>
          <w:rFonts w:asciiTheme="minorHAnsi" w:hAnsiTheme="minorHAnsi" w:cstheme="minorHAnsi"/>
          <w:sz w:val="22"/>
          <w:szCs w:val="22"/>
        </w:rPr>
        <w:t xml:space="preserve">Continue to proactively address affordable housing at risk of losing rent restrictions by engaging </w:t>
      </w:r>
      <w:r w:rsidR="00D65F2F" w:rsidRPr="00150CA7">
        <w:rPr>
          <w:rFonts w:asciiTheme="minorHAnsi" w:hAnsiTheme="minorHAnsi" w:cstheme="minorHAnsi"/>
          <w:sz w:val="22"/>
          <w:szCs w:val="22"/>
        </w:rPr>
        <w:t xml:space="preserve">the </w:t>
      </w:r>
      <w:r w:rsidRPr="00150CA7">
        <w:rPr>
          <w:rFonts w:asciiTheme="minorHAnsi" w:hAnsiTheme="minorHAnsi" w:cstheme="minorHAnsi"/>
          <w:sz w:val="22"/>
          <w:szCs w:val="22"/>
        </w:rPr>
        <w:t xml:space="preserve">local HUD field office, property owners, and local housing providers. </w:t>
      </w:r>
    </w:p>
    <w:p w14:paraId="444761FC" w14:textId="77777777" w:rsidR="00C82CFF" w:rsidRPr="007D3306" w:rsidRDefault="00C82CFF" w:rsidP="00C82CFF">
      <w:pPr>
        <w:pStyle w:val="Default"/>
        <w:rPr>
          <w:rFonts w:asciiTheme="minorHAnsi" w:hAnsiTheme="minorHAnsi" w:cstheme="minorHAnsi"/>
          <w:sz w:val="22"/>
          <w:szCs w:val="22"/>
        </w:rPr>
      </w:pPr>
    </w:p>
    <w:p w14:paraId="0186E76D" w14:textId="46B6EBDF" w:rsidR="00C82CFF" w:rsidRPr="007D3306" w:rsidRDefault="00C82CFF" w:rsidP="00C82CFF">
      <w:pPr>
        <w:pStyle w:val="Default"/>
        <w:numPr>
          <w:ilvl w:val="0"/>
          <w:numId w:val="19"/>
        </w:numPr>
        <w:rPr>
          <w:rFonts w:asciiTheme="minorHAnsi" w:hAnsiTheme="minorHAnsi" w:cstheme="minorHAnsi"/>
          <w:sz w:val="22"/>
          <w:szCs w:val="22"/>
        </w:rPr>
      </w:pPr>
      <w:r w:rsidRPr="007D3306">
        <w:rPr>
          <w:rFonts w:asciiTheme="minorHAnsi" w:hAnsiTheme="minorHAnsi" w:cstheme="minorHAnsi"/>
          <w:sz w:val="22"/>
          <w:szCs w:val="22"/>
        </w:rPr>
        <w:t xml:space="preserve">Continue CDBG funding for </w:t>
      </w:r>
      <w:r w:rsidR="00345886" w:rsidRPr="007D3306">
        <w:rPr>
          <w:rFonts w:asciiTheme="minorHAnsi" w:hAnsiTheme="minorHAnsi" w:cstheme="minorHAnsi"/>
          <w:sz w:val="22"/>
          <w:szCs w:val="22"/>
        </w:rPr>
        <w:t>Fair Housing Foundation</w:t>
      </w:r>
      <w:r w:rsidRPr="007D3306">
        <w:rPr>
          <w:rFonts w:asciiTheme="minorHAnsi" w:hAnsiTheme="minorHAnsi" w:cstheme="minorHAnsi"/>
          <w:sz w:val="22"/>
          <w:szCs w:val="22"/>
        </w:rPr>
        <w:t xml:space="preserve"> to implement the City’s Fair Housing Program to educate tenants, landlords</w:t>
      </w:r>
      <w:r w:rsidR="00D65F2F" w:rsidRPr="007D3306">
        <w:rPr>
          <w:rFonts w:asciiTheme="minorHAnsi" w:hAnsiTheme="minorHAnsi" w:cstheme="minorHAnsi"/>
          <w:sz w:val="22"/>
          <w:szCs w:val="22"/>
        </w:rPr>
        <w:t>,</w:t>
      </w:r>
      <w:r w:rsidRPr="007D3306">
        <w:rPr>
          <w:rFonts w:asciiTheme="minorHAnsi" w:hAnsiTheme="minorHAnsi" w:cstheme="minorHAnsi"/>
          <w:sz w:val="22"/>
          <w:szCs w:val="22"/>
        </w:rPr>
        <w:t xml:space="preserve"> and the public. </w:t>
      </w:r>
    </w:p>
    <w:p w14:paraId="2F690323" w14:textId="77777777" w:rsidR="00C82CFF" w:rsidRPr="007D3306" w:rsidRDefault="00C82CFF" w:rsidP="00C82CFF">
      <w:pPr>
        <w:pStyle w:val="Default"/>
        <w:rPr>
          <w:rFonts w:asciiTheme="minorHAnsi" w:hAnsiTheme="minorHAnsi" w:cstheme="minorHAnsi"/>
          <w:sz w:val="22"/>
          <w:szCs w:val="22"/>
        </w:rPr>
      </w:pPr>
    </w:p>
    <w:p w14:paraId="6AAA1494" w14:textId="728399CF" w:rsidR="00C82CFF" w:rsidRPr="007D3306" w:rsidRDefault="00C82CFF" w:rsidP="00C82CFF">
      <w:pPr>
        <w:pStyle w:val="Default"/>
        <w:numPr>
          <w:ilvl w:val="0"/>
          <w:numId w:val="19"/>
        </w:numPr>
        <w:rPr>
          <w:rFonts w:asciiTheme="minorHAnsi" w:hAnsiTheme="minorHAnsi" w:cstheme="minorHAnsi"/>
          <w:sz w:val="22"/>
          <w:szCs w:val="22"/>
        </w:rPr>
      </w:pPr>
      <w:r w:rsidRPr="007D3306">
        <w:rPr>
          <w:rFonts w:asciiTheme="minorHAnsi" w:hAnsiTheme="minorHAnsi" w:cstheme="minorHAnsi"/>
          <w:sz w:val="22"/>
          <w:szCs w:val="22"/>
        </w:rPr>
        <w:t xml:space="preserve">Continue to promote </w:t>
      </w:r>
      <w:r w:rsidR="00D65F2F" w:rsidRPr="007D3306">
        <w:rPr>
          <w:rFonts w:asciiTheme="minorHAnsi" w:hAnsiTheme="minorHAnsi" w:cstheme="minorHAnsi"/>
          <w:sz w:val="22"/>
          <w:szCs w:val="22"/>
        </w:rPr>
        <w:t>and</w:t>
      </w:r>
      <w:r w:rsidRPr="007D3306">
        <w:rPr>
          <w:rFonts w:asciiTheme="minorHAnsi" w:hAnsiTheme="minorHAnsi" w:cstheme="minorHAnsi"/>
          <w:sz w:val="22"/>
          <w:szCs w:val="22"/>
        </w:rPr>
        <w:t xml:space="preserve"> educat</w:t>
      </w:r>
      <w:r w:rsidR="00D65F2F" w:rsidRPr="007D3306">
        <w:rPr>
          <w:rFonts w:asciiTheme="minorHAnsi" w:hAnsiTheme="minorHAnsi" w:cstheme="minorHAnsi"/>
          <w:sz w:val="22"/>
          <w:szCs w:val="22"/>
        </w:rPr>
        <w:t>e</w:t>
      </w:r>
      <w:r w:rsidRPr="007D3306">
        <w:rPr>
          <w:rFonts w:asciiTheme="minorHAnsi" w:hAnsiTheme="minorHAnsi" w:cstheme="minorHAnsi"/>
          <w:sz w:val="22"/>
          <w:szCs w:val="22"/>
        </w:rPr>
        <w:t xml:space="preserve"> the public on the issue of fair housing. </w:t>
      </w:r>
    </w:p>
    <w:p w14:paraId="19E46652" w14:textId="77777777" w:rsidR="00C82CFF" w:rsidRPr="007D3306" w:rsidRDefault="00C82CFF" w:rsidP="00C82CFF">
      <w:pPr>
        <w:pStyle w:val="Default"/>
        <w:rPr>
          <w:rFonts w:asciiTheme="minorHAnsi" w:hAnsiTheme="minorHAnsi" w:cstheme="minorHAnsi"/>
          <w:sz w:val="22"/>
          <w:szCs w:val="22"/>
        </w:rPr>
      </w:pPr>
    </w:p>
    <w:p w14:paraId="6A360CD6" w14:textId="05B16759" w:rsidR="00C82CFF" w:rsidRPr="007D3306" w:rsidRDefault="00C82CFF" w:rsidP="00C82CFF">
      <w:pPr>
        <w:pStyle w:val="Default"/>
        <w:numPr>
          <w:ilvl w:val="0"/>
          <w:numId w:val="19"/>
        </w:numPr>
        <w:rPr>
          <w:rFonts w:asciiTheme="minorHAnsi" w:hAnsiTheme="minorHAnsi" w:cstheme="minorHAnsi"/>
          <w:sz w:val="22"/>
          <w:szCs w:val="22"/>
        </w:rPr>
      </w:pPr>
      <w:r w:rsidRPr="007D3306">
        <w:rPr>
          <w:rFonts w:asciiTheme="minorHAnsi" w:hAnsiTheme="minorHAnsi" w:cstheme="minorHAnsi"/>
          <w:sz w:val="22"/>
          <w:szCs w:val="22"/>
        </w:rPr>
        <w:t>Work with F</w:t>
      </w:r>
      <w:r w:rsidR="00345886" w:rsidRPr="007D3306">
        <w:rPr>
          <w:rFonts w:asciiTheme="minorHAnsi" w:hAnsiTheme="minorHAnsi" w:cstheme="minorHAnsi"/>
          <w:sz w:val="22"/>
          <w:szCs w:val="22"/>
        </w:rPr>
        <w:t>air Housing Foundation</w:t>
      </w:r>
      <w:r w:rsidRPr="007D3306">
        <w:rPr>
          <w:rFonts w:asciiTheme="minorHAnsi" w:hAnsiTheme="minorHAnsi" w:cstheme="minorHAnsi"/>
          <w:sz w:val="22"/>
          <w:szCs w:val="22"/>
        </w:rPr>
        <w:t xml:space="preserve"> to update information related to fair housing for the community. </w:t>
      </w:r>
    </w:p>
    <w:p w14:paraId="36975EA9" w14:textId="77777777" w:rsidR="00C82CFF" w:rsidRPr="007D3306" w:rsidRDefault="00C82CFF" w:rsidP="00C82CFF">
      <w:pPr>
        <w:pStyle w:val="Default"/>
        <w:rPr>
          <w:rFonts w:asciiTheme="minorHAnsi" w:hAnsiTheme="minorHAnsi" w:cstheme="minorHAnsi"/>
          <w:sz w:val="22"/>
          <w:szCs w:val="22"/>
        </w:rPr>
      </w:pPr>
    </w:p>
    <w:p w14:paraId="681748F7" w14:textId="77777777" w:rsidR="00C82CFF" w:rsidRPr="007D3306" w:rsidRDefault="00C82CFF" w:rsidP="00C82CFF">
      <w:pPr>
        <w:pStyle w:val="Default"/>
        <w:numPr>
          <w:ilvl w:val="0"/>
          <w:numId w:val="19"/>
        </w:numPr>
        <w:rPr>
          <w:rFonts w:asciiTheme="minorHAnsi" w:hAnsiTheme="minorHAnsi" w:cstheme="minorHAnsi"/>
          <w:sz w:val="22"/>
          <w:szCs w:val="22"/>
        </w:rPr>
      </w:pPr>
      <w:r w:rsidRPr="007D3306">
        <w:rPr>
          <w:rFonts w:asciiTheme="minorHAnsi" w:hAnsiTheme="minorHAnsi" w:cstheme="minorHAnsi"/>
          <w:sz w:val="22"/>
          <w:szCs w:val="22"/>
        </w:rPr>
        <w:t>Continue to gather data for the ongoing process of updating this document and monitoring the fair housing situation in South Gate.</w:t>
      </w:r>
    </w:p>
    <w:p w14:paraId="2CE68B9B" w14:textId="77777777" w:rsidR="00C82CFF" w:rsidRPr="00767897" w:rsidRDefault="00C82CFF">
      <w:pPr>
        <w:widowControl w:val="0"/>
        <w:rPr>
          <w:b/>
          <w:sz w:val="24"/>
          <w:szCs w:val="24"/>
          <w:highlight w:val="yellow"/>
        </w:rPr>
      </w:pPr>
    </w:p>
    <w:p w14:paraId="7C9B6E2A" w14:textId="77777777" w:rsidR="00BE059B" w:rsidRPr="00DE70DF" w:rsidRDefault="00FB5456">
      <w:pPr>
        <w:pStyle w:val="Heading2"/>
        <w:pageBreakBefore/>
        <w:widowControl w:val="0"/>
        <w:rPr>
          <w:rFonts w:ascii="Calibri" w:hAnsi="Calibri"/>
          <w:i w:val="0"/>
        </w:rPr>
      </w:pPr>
      <w:bookmarkStart w:id="10" w:name="_Toc142647853"/>
      <w:r w:rsidRPr="00DE70DF">
        <w:rPr>
          <w:rFonts w:ascii="Calibri" w:hAnsi="Calibri"/>
          <w:i w:val="0"/>
        </w:rPr>
        <w:lastRenderedPageBreak/>
        <w:t>CR-40 - Monitoring 91.220 and 91.230</w:t>
      </w:r>
      <w:bookmarkEnd w:id="10"/>
    </w:p>
    <w:p w14:paraId="71DE3E89" w14:textId="2185A87C" w:rsidR="00BE059B" w:rsidRPr="00DE70DF" w:rsidRDefault="00FB5456">
      <w:pPr>
        <w:widowControl w:val="0"/>
        <w:rPr>
          <w:b/>
          <w:sz w:val="24"/>
          <w:szCs w:val="24"/>
        </w:rPr>
      </w:pPr>
      <w:r w:rsidRPr="00DE70DF">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r w:rsidR="00C815DE" w:rsidRPr="00DE70DF">
        <w:rPr>
          <w:b/>
          <w:sz w:val="24"/>
          <w:szCs w:val="24"/>
        </w:rPr>
        <w:t>.</w:t>
      </w:r>
    </w:p>
    <w:p w14:paraId="10DF7A49" w14:textId="4402F93B" w:rsidR="00345886" w:rsidRPr="00DE70DF" w:rsidRDefault="00345886" w:rsidP="00345886">
      <w:pPr>
        <w:widowControl w:val="0"/>
        <w:spacing w:beforeAutospacing="1" w:afterAutospacing="1"/>
        <w:rPr>
          <w:rFonts w:cs="Arial"/>
        </w:rPr>
      </w:pPr>
      <w:r w:rsidRPr="00DE70DF">
        <w:rPr>
          <w:rFonts w:cs="Arial"/>
        </w:rPr>
        <w:t xml:space="preserve">At the beginning of the program year, City staff meets with all CDBG and </w:t>
      </w:r>
      <w:r w:rsidR="00D65F2F" w:rsidRPr="00DE70DF">
        <w:rPr>
          <w:rFonts w:cs="Arial"/>
        </w:rPr>
        <w:t>HOME-funded</w:t>
      </w:r>
      <w:r w:rsidRPr="00DE70DF">
        <w:rPr>
          <w:rFonts w:cs="Arial"/>
        </w:rPr>
        <w:t xml:space="preserve"> project managers to discuss the reporting requirements and the monitoring. </w:t>
      </w:r>
      <w:r w:rsidR="00D65F2F" w:rsidRPr="00DE70DF">
        <w:rPr>
          <w:rFonts w:cs="Arial"/>
        </w:rPr>
        <w:t xml:space="preserve">Program providers are required to provide progress reports, which are reviewed for progress and compliance </w:t>
      </w:r>
      <w:r w:rsidR="002E4FA0" w:rsidRPr="00DE70DF">
        <w:rPr>
          <w:rFonts w:cs="Arial"/>
        </w:rPr>
        <w:t>at least quarterly</w:t>
      </w:r>
      <w:r w:rsidRPr="00DE70DF">
        <w:rPr>
          <w:rFonts w:cs="Arial"/>
        </w:rPr>
        <w:t xml:space="preserve">.  </w:t>
      </w:r>
    </w:p>
    <w:p w14:paraId="6862F339" w14:textId="68D6EEC9" w:rsidR="00345886" w:rsidRPr="00775706" w:rsidRDefault="00345886" w:rsidP="00345886">
      <w:pPr>
        <w:widowControl w:val="0"/>
        <w:spacing w:beforeAutospacing="1" w:afterAutospacing="1"/>
        <w:rPr>
          <w:rFonts w:cs="Arial"/>
        </w:rPr>
      </w:pPr>
      <w:r w:rsidRPr="00DE70DF">
        <w:rPr>
          <w:rFonts w:cs="Arial"/>
        </w:rPr>
        <w:t>During the year, a site review is held with all the program providers.  An entrance interview is held with key representatives to review the program’s purpose, scope, objectives, and goals.  During the review, HUD required records and information is reviewed and/or collected. The review ends with an exit conference to present preliminary results of the monitoring, this provides an opportunity to discuss program compliance and reporting concerns. At this point</w:t>
      </w:r>
      <w:r w:rsidR="00D65F2F" w:rsidRPr="00DE70DF">
        <w:rPr>
          <w:rFonts w:cs="Arial"/>
        </w:rPr>
        <w:t>,</w:t>
      </w:r>
      <w:r w:rsidRPr="00DE70DF">
        <w:rPr>
          <w:rFonts w:cs="Arial"/>
        </w:rPr>
        <w:t xml:space="preserve"> the program provider can also share steps </w:t>
      </w:r>
      <w:r w:rsidR="00D65F2F" w:rsidRPr="00DE70DF">
        <w:rPr>
          <w:rFonts w:cs="Arial"/>
        </w:rPr>
        <w:t>to address non-compliance or non-performance areas</w:t>
      </w:r>
      <w:r w:rsidRPr="00DE70DF">
        <w:rPr>
          <w:rFonts w:cs="Arial"/>
        </w:rPr>
        <w:t xml:space="preserve">.  Formal notification of the monitoring review results is sent to the program provider, which creates a permanent written record, an outline of any concerns and/or findings, and sets deadlines for a written response and corrective actions.  The Monitor is responsible for providing technical assistance to ensure </w:t>
      </w:r>
      <w:r w:rsidR="00D65F2F" w:rsidRPr="00DE70DF">
        <w:rPr>
          <w:rFonts w:cs="Arial"/>
        </w:rPr>
        <w:t>the programs are productive and compliant</w:t>
      </w:r>
      <w:r w:rsidRPr="00DE70DF">
        <w:rPr>
          <w:rFonts w:cs="Arial"/>
        </w:rPr>
        <w:t xml:space="preserve"> with federal regulations. Staff continuously monitors programs and activities to comply with city, state, </w:t>
      </w:r>
      <w:r w:rsidRPr="00775706">
        <w:rPr>
          <w:rFonts w:cs="Arial"/>
        </w:rPr>
        <w:t>and federal regulations and policies with a focus on: </w:t>
      </w:r>
    </w:p>
    <w:p w14:paraId="3719AE18" w14:textId="6FBC89CB" w:rsidR="00345886" w:rsidRPr="00775706" w:rsidRDefault="00345886" w:rsidP="00345886">
      <w:pPr>
        <w:widowControl w:val="0"/>
        <w:numPr>
          <w:ilvl w:val="0"/>
          <w:numId w:val="3"/>
        </w:numPr>
        <w:spacing w:beforeAutospacing="1" w:afterAutospacing="1"/>
        <w:rPr>
          <w:rFonts w:cs="Arial"/>
        </w:rPr>
      </w:pPr>
      <w:r w:rsidRPr="00775706">
        <w:rPr>
          <w:rFonts w:cs="Arial"/>
        </w:rPr>
        <w:t xml:space="preserve">Financial Standards and Procedures – Community Development staff and the City's accounting division work closely to ensure funds drawn through IDIS are used for authorized activities on approved projects.  Activity agreements, expense documentation, and approvals must be in place before </w:t>
      </w:r>
      <w:r w:rsidR="00D65F2F" w:rsidRPr="00775706">
        <w:rPr>
          <w:rFonts w:cs="Arial"/>
        </w:rPr>
        <w:t>expending funds</w:t>
      </w:r>
      <w:r w:rsidRPr="00775706">
        <w:rPr>
          <w:rFonts w:cs="Arial"/>
        </w:rPr>
        <w:t>.   </w:t>
      </w:r>
    </w:p>
    <w:p w14:paraId="6F38A722" w14:textId="77777777" w:rsidR="00345886" w:rsidRPr="00775706" w:rsidRDefault="00345886" w:rsidP="00345886">
      <w:pPr>
        <w:widowControl w:val="0"/>
        <w:numPr>
          <w:ilvl w:val="0"/>
          <w:numId w:val="3"/>
        </w:numPr>
        <w:spacing w:beforeAutospacing="1" w:afterAutospacing="1"/>
        <w:rPr>
          <w:rFonts w:cs="Arial"/>
        </w:rPr>
      </w:pPr>
      <w:r w:rsidRPr="00775706">
        <w:rPr>
          <w:rFonts w:cs="Arial"/>
        </w:rPr>
        <w:t>Environmental Standards and Procedures – All projects and individual activities requiring environmental reviews per HUD regulations are completed before funding approval.  Staff completed the appropriate Environmental Reviews for all CDBG and HOME programs. </w:t>
      </w:r>
    </w:p>
    <w:p w14:paraId="2E4D5AF2" w14:textId="5624CB96" w:rsidR="00BE059B" w:rsidRPr="00775706" w:rsidRDefault="00345886" w:rsidP="00345886">
      <w:pPr>
        <w:widowControl w:val="0"/>
        <w:numPr>
          <w:ilvl w:val="0"/>
          <w:numId w:val="3"/>
        </w:numPr>
        <w:spacing w:beforeAutospacing="1" w:afterAutospacing="1"/>
        <w:rPr>
          <w:rFonts w:cs="Arial"/>
        </w:rPr>
      </w:pPr>
      <w:r w:rsidRPr="00775706">
        <w:rPr>
          <w:rFonts w:cs="Arial"/>
        </w:rPr>
        <w:t xml:space="preserve">Labor Standards and Procedures – </w:t>
      </w:r>
      <w:r w:rsidR="00D65F2F" w:rsidRPr="00775706">
        <w:rPr>
          <w:rFonts w:cs="Arial"/>
        </w:rPr>
        <w:t>Community Development, Public Works staff, and outside consultants monitor labor standards</w:t>
      </w:r>
      <w:r w:rsidRPr="00775706">
        <w:rPr>
          <w:rFonts w:cs="Arial"/>
        </w:rPr>
        <w:t>.  Labor requirements are included in all bid documents and reviewed again during the pre-construction meeting.   </w:t>
      </w:r>
    </w:p>
    <w:p w14:paraId="4BFECC8F" w14:textId="3A41ECC7" w:rsidR="004E17D1" w:rsidRPr="00767897" w:rsidRDefault="004E17D1" w:rsidP="004E17D1">
      <w:pPr>
        <w:spacing w:before="100" w:beforeAutospacing="1" w:after="100" w:afterAutospacing="1"/>
        <w:ind w:left="360"/>
        <w:rPr>
          <w:highlight w:val="yellow"/>
        </w:rPr>
      </w:pPr>
      <w:r w:rsidRPr="00775706">
        <w:t xml:space="preserve">To ensure long-term compliance </w:t>
      </w:r>
      <w:r w:rsidR="00D65F2F" w:rsidRPr="00775706">
        <w:t>with</w:t>
      </w:r>
      <w:r w:rsidRPr="00775706">
        <w:t xml:space="preserve"> its programs, the City requires</w:t>
      </w:r>
      <w:r w:rsidR="00546554">
        <w:t xml:space="preserve"> that</w:t>
      </w:r>
      <w:r w:rsidRPr="00775706">
        <w:t xml:space="preserve"> all subrecipients (including City departments) submit </w:t>
      </w:r>
      <w:r w:rsidR="00D65F2F" w:rsidRPr="00775706">
        <w:t xml:space="preserve">quarterly </w:t>
      </w:r>
      <w:r w:rsidRPr="00775706">
        <w:t xml:space="preserve">performance reports and requests for reimbursements. Upon submission, staff </w:t>
      </w:r>
      <w:r w:rsidR="00D65F2F" w:rsidRPr="00775706">
        <w:t>review</w:t>
      </w:r>
      <w:r w:rsidRPr="00775706">
        <w:t xml:space="preserve"> the performance reports</w:t>
      </w:r>
      <w:r w:rsidR="00D65F2F" w:rsidRPr="00775706">
        <w:t>,</w:t>
      </w:r>
      <w:r w:rsidRPr="00775706">
        <w:t xml:space="preserve"> which note how many participants benefitted from the service and compare it to the </w:t>
      </w:r>
      <w:r w:rsidR="00C15CCE" w:rsidRPr="00775706">
        <w:t>subrecipient's</w:t>
      </w:r>
      <w:r w:rsidRPr="00775706">
        <w:t xml:space="preserve"> goals for the program. Staff also review all reimbursement requests to </w:t>
      </w:r>
      <w:r w:rsidR="00C15CCE" w:rsidRPr="00775706">
        <w:t xml:space="preserve">ensure that expenses are eligible and </w:t>
      </w:r>
      <w:r w:rsidRPr="00775706">
        <w:t xml:space="preserve">used to meet the program/project </w:t>
      </w:r>
      <w:r w:rsidRPr="00F51088">
        <w:t>goals.  For FY 2</w:t>
      </w:r>
      <w:r w:rsidR="00F62C37" w:rsidRPr="00F51088">
        <w:t>3</w:t>
      </w:r>
      <w:r w:rsidR="00C15CCE" w:rsidRPr="00F51088">
        <w:t>-2</w:t>
      </w:r>
      <w:r w:rsidR="00F62C37" w:rsidRPr="00F51088">
        <w:t>4</w:t>
      </w:r>
      <w:r w:rsidR="00C15CCE" w:rsidRPr="00F51088">
        <w:t>,</w:t>
      </w:r>
      <w:r w:rsidRPr="00F51088">
        <w:t xml:space="preserve"> subrecipients </w:t>
      </w:r>
      <w:r w:rsidRPr="00005349">
        <w:t>monitored included the Fair Housing Foundation ($24,000), Graffiti Abatement ($1</w:t>
      </w:r>
      <w:r w:rsidR="00F51088" w:rsidRPr="00005349">
        <w:t>3</w:t>
      </w:r>
      <w:r w:rsidRPr="00005349">
        <w:t>0,000)</w:t>
      </w:r>
      <w:r w:rsidR="003B7620" w:rsidRPr="00005349">
        <w:t xml:space="preserve">, </w:t>
      </w:r>
      <w:r w:rsidR="00530602" w:rsidRPr="00005349">
        <w:t>Family Violence Prevention ($</w:t>
      </w:r>
      <w:r w:rsidR="00B43E62" w:rsidRPr="00005349">
        <w:t>35,279), South Gate Police Explorers ($23,500</w:t>
      </w:r>
      <w:r w:rsidR="00CC2DFE" w:rsidRPr="00005349">
        <w:t>), and the Southern California Rehabilitation Services Home Modification Program ($</w:t>
      </w:r>
      <w:r w:rsidR="00005349" w:rsidRPr="00005349">
        <w:t>9,000)</w:t>
      </w:r>
      <w:r w:rsidRPr="00005349">
        <w:t xml:space="preserve">. </w:t>
      </w:r>
    </w:p>
    <w:p w14:paraId="08FA69B6" w14:textId="22CD0719" w:rsidR="004E17D1" w:rsidRPr="00767897" w:rsidRDefault="004E17D1" w:rsidP="004E17D1">
      <w:pPr>
        <w:spacing w:before="100" w:beforeAutospacing="1" w:after="100" w:afterAutospacing="1"/>
        <w:ind w:left="360"/>
        <w:rPr>
          <w:highlight w:val="yellow"/>
        </w:rPr>
      </w:pPr>
      <w:r w:rsidRPr="00823EEC">
        <w:lastRenderedPageBreak/>
        <w:t xml:space="preserve">For CDBG-CV, prior to allocating funding to subrecipients City staff review program applications to ensure that proposed activities respond to, prevent, and/or prepare for the COVID-19 pandemic. </w:t>
      </w:r>
      <w:r w:rsidRPr="00402DB8">
        <w:t>Staff also request</w:t>
      </w:r>
      <w:r w:rsidR="00C15CCE" w:rsidRPr="00402DB8">
        <w:t>ed</w:t>
      </w:r>
      <w:r w:rsidRPr="00402DB8">
        <w:t xml:space="preserve"> that performance reports and requests for reimbursements </w:t>
      </w:r>
      <w:r w:rsidR="00C15CCE" w:rsidRPr="00402DB8">
        <w:t>be</w:t>
      </w:r>
      <w:r w:rsidRPr="00402DB8">
        <w:t xml:space="preserve"> submitted quarterly to review program progress and eligibility of expenses. For FY </w:t>
      </w:r>
      <w:r w:rsidR="00C15CCE" w:rsidRPr="00402DB8">
        <w:t>2</w:t>
      </w:r>
      <w:r w:rsidR="00823EEC" w:rsidRPr="00402DB8">
        <w:t>3</w:t>
      </w:r>
      <w:r w:rsidR="00C15CCE" w:rsidRPr="00402DB8">
        <w:t>-2</w:t>
      </w:r>
      <w:r w:rsidR="00823EEC" w:rsidRPr="00402DB8">
        <w:t>4</w:t>
      </w:r>
      <w:r w:rsidRPr="00402DB8">
        <w:t xml:space="preserve"> CDBG-CV subrecipients that co</w:t>
      </w:r>
      <w:r w:rsidRPr="00AA260C">
        <w:t>ntinued to provide services included</w:t>
      </w:r>
      <w:r w:rsidR="00A0469C" w:rsidRPr="00AA260C">
        <w:t xml:space="preserve"> Family Violence Prevention and Education ($65,000)</w:t>
      </w:r>
      <w:r w:rsidR="0085661F" w:rsidRPr="00AA260C">
        <w:t>, Southern California Rehabilitation Services – Home Modification Program ($</w:t>
      </w:r>
      <w:r w:rsidR="00AA260C" w:rsidRPr="00AA260C">
        <w:t>143,794</w:t>
      </w:r>
      <w:r w:rsidR="00804CFC" w:rsidRPr="00AA260C">
        <w:t>), California Latino Youth Leadership ($60,165</w:t>
      </w:r>
      <w:r w:rsidR="00FB1584" w:rsidRPr="00AA260C">
        <w:t xml:space="preserve">) and </w:t>
      </w:r>
      <w:r w:rsidRPr="00AA260C">
        <w:t>Helpline Youth Counseling ($245,354).</w:t>
      </w:r>
    </w:p>
    <w:p w14:paraId="3A5C22E5" w14:textId="77777777" w:rsidR="004E17D1" w:rsidRPr="00AA260C" w:rsidRDefault="004E17D1" w:rsidP="004E17D1">
      <w:pPr>
        <w:widowControl w:val="0"/>
        <w:spacing w:beforeAutospacing="1" w:afterAutospacing="1"/>
        <w:rPr>
          <w:rFonts w:cs="Arial"/>
        </w:rPr>
      </w:pPr>
    </w:p>
    <w:p w14:paraId="68A6B467" w14:textId="77777777" w:rsidR="00BE059B" w:rsidRPr="00AA260C" w:rsidRDefault="00FB5456">
      <w:pPr>
        <w:widowControl w:val="0"/>
        <w:rPr>
          <w:b/>
          <w:sz w:val="24"/>
          <w:szCs w:val="24"/>
        </w:rPr>
      </w:pPr>
      <w:r w:rsidRPr="00AA260C">
        <w:rPr>
          <w:b/>
          <w:sz w:val="24"/>
          <w:szCs w:val="24"/>
        </w:rPr>
        <w:t>Citizen Participation Plan 91.105(d); 91.115(d)</w:t>
      </w:r>
    </w:p>
    <w:p w14:paraId="5E63BFFD" w14:textId="1A4E6CB2" w:rsidR="00BE059B" w:rsidRPr="00AA260C" w:rsidRDefault="00FB5456">
      <w:pPr>
        <w:widowControl w:val="0"/>
        <w:rPr>
          <w:sz w:val="24"/>
          <w:szCs w:val="24"/>
        </w:rPr>
      </w:pPr>
      <w:r w:rsidRPr="00AA260C">
        <w:rPr>
          <w:b/>
          <w:sz w:val="24"/>
          <w:szCs w:val="24"/>
        </w:rPr>
        <w:t>Describe the efforts to provide citizens with reasonable notice and an opportunity to comment on performance reports</w:t>
      </w:r>
      <w:r w:rsidRPr="00AA260C">
        <w:rPr>
          <w:sz w:val="24"/>
          <w:szCs w:val="24"/>
        </w:rPr>
        <w:t>.</w:t>
      </w:r>
    </w:p>
    <w:p w14:paraId="766CAF04" w14:textId="77777777" w:rsidR="00345886" w:rsidRPr="00E1262C" w:rsidRDefault="00345886" w:rsidP="00345886">
      <w:pPr>
        <w:pStyle w:val="NormalWeb"/>
        <w:jc w:val="both"/>
        <w:rPr>
          <w:rFonts w:asciiTheme="minorHAnsi" w:hAnsiTheme="minorHAnsi" w:cstheme="minorHAnsi"/>
          <w:color w:val="000000" w:themeColor="text1"/>
          <w:sz w:val="22"/>
          <w:szCs w:val="22"/>
        </w:rPr>
      </w:pPr>
      <w:r w:rsidRPr="00AA260C">
        <w:rPr>
          <w:rFonts w:asciiTheme="minorHAnsi" w:hAnsiTheme="minorHAnsi" w:cstheme="minorHAnsi"/>
          <w:color w:val="000000" w:themeColor="text1"/>
          <w:sz w:val="22"/>
          <w:szCs w:val="22"/>
        </w:rPr>
        <w:t xml:space="preserve">The City has ensured that it has complied with its HUD-approved Citizen Participation Plan.  This plan ensures that the City provides the public with sufficient notice and opportunities to review and comment on actions affecting the City's Consolidated Plan, Annual </w:t>
      </w:r>
      <w:r w:rsidRPr="00E1262C">
        <w:rPr>
          <w:rFonts w:asciiTheme="minorHAnsi" w:hAnsiTheme="minorHAnsi" w:cstheme="minorHAnsi"/>
          <w:color w:val="000000" w:themeColor="text1"/>
          <w:sz w:val="22"/>
          <w:szCs w:val="22"/>
        </w:rPr>
        <w:t>Action Plans, and CAPERs.</w:t>
      </w:r>
    </w:p>
    <w:p w14:paraId="42832D68" w14:textId="7C345E71" w:rsidR="00345886" w:rsidRPr="00767897" w:rsidRDefault="00345886" w:rsidP="00345886">
      <w:pPr>
        <w:pStyle w:val="NormalWeb"/>
        <w:jc w:val="both"/>
        <w:rPr>
          <w:rFonts w:asciiTheme="minorHAnsi" w:hAnsiTheme="minorHAnsi" w:cstheme="minorHAnsi"/>
          <w:color w:val="000000" w:themeColor="text1"/>
          <w:sz w:val="22"/>
          <w:szCs w:val="22"/>
          <w:highlight w:val="yellow"/>
        </w:rPr>
      </w:pPr>
      <w:r w:rsidRPr="00E1262C">
        <w:rPr>
          <w:rFonts w:asciiTheme="minorHAnsi" w:hAnsiTheme="minorHAnsi" w:cstheme="minorHAnsi"/>
          <w:color w:val="000000" w:themeColor="text1"/>
          <w:sz w:val="22"/>
          <w:szCs w:val="22"/>
        </w:rPr>
        <w:t>The City publishe</w:t>
      </w:r>
      <w:r w:rsidR="00C63CE5" w:rsidRPr="00E1262C">
        <w:rPr>
          <w:rFonts w:asciiTheme="minorHAnsi" w:hAnsiTheme="minorHAnsi" w:cstheme="minorHAnsi"/>
          <w:color w:val="000000" w:themeColor="text1"/>
          <w:sz w:val="22"/>
          <w:szCs w:val="22"/>
        </w:rPr>
        <w:t>d</w:t>
      </w:r>
      <w:r w:rsidRPr="00E1262C">
        <w:rPr>
          <w:rFonts w:asciiTheme="minorHAnsi" w:hAnsiTheme="minorHAnsi" w:cstheme="minorHAnsi"/>
          <w:color w:val="000000" w:themeColor="text1"/>
          <w:sz w:val="22"/>
          <w:szCs w:val="22"/>
        </w:rPr>
        <w:t xml:space="preserve"> a Notice of Public Hearing and a 15-day comment period to receive comments on the CAPER in the </w:t>
      </w:r>
      <w:r w:rsidRPr="00E1262C">
        <w:rPr>
          <w:rFonts w:asciiTheme="minorHAnsi" w:hAnsiTheme="minorHAnsi" w:cstheme="minorHAnsi"/>
          <w:i/>
          <w:iCs/>
          <w:color w:val="000000" w:themeColor="text1"/>
          <w:sz w:val="22"/>
          <w:szCs w:val="22"/>
        </w:rPr>
        <w:t xml:space="preserve">South Gate Press </w:t>
      </w:r>
      <w:r w:rsidRPr="00E1262C">
        <w:rPr>
          <w:rFonts w:asciiTheme="minorHAnsi" w:hAnsiTheme="minorHAnsi" w:cstheme="minorHAnsi"/>
          <w:color w:val="000000" w:themeColor="text1"/>
          <w:sz w:val="22"/>
          <w:szCs w:val="22"/>
        </w:rPr>
        <w:t xml:space="preserve">on August </w:t>
      </w:r>
      <w:r w:rsidR="00B748C5" w:rsidRPr="00E1262C">
        <w:rPr>
          <w:rFonts w:asciiTheme="minorHAnsi" w:hAnsiTheme="minorHAnsi" w:cstheme="minorHAnsi"/>
          <w:color w:val="000000" w:themeColor="text1"/>
          <w:sz w:val="22"/>
          <w:szCs w:val="22"/>
        </w:rPr>
        <w:t>2</w:t>
      </w:r>
      <w:r w:rsidR="00E1262C" w:rsidRPr="00E1262C">
        <w:rPr>
          <w:rFonts w:asciiTheme="minorHAnsi" w:hAnsiTheme="minorHAnsi" w:cstheme="minorHAnsi"/>
          <w:color w:val="000000" w:themeColor="text1"/>
          <w:sz w:val="22"/>
          <w:szCs w:val="22"/>
        </w:rPr>
        <w:t>2</w:t>
      </w:r>
      <w:r w:rsidRPr="00E1262C">
        <w:rPr>
          <w:rFonts w:asciiTheme="minorHAnsi" w:hAnsiTheme="minorHAnsi" w:cstheme="minorHAnsi"/>
          <w:color w:val="000000" w:themeColor="text1"/>
          <w:sz w:val="22"/>
          <w:szCs w:val="22"/>
        </w:rPr>
        <w:t>, 202</w:t>
      </w:r>
      <w:r w:rsidR="00E1262C" w:rsidRPr="00E1262C">
        <w:rPr>
          <w:rFonts w:asciiTheme="minorHAnsi" w:hAnsiTheme="minorHAnsi" w:cstheme="minorHAnsi"/>
          <w:color w:val="000000" w:themeColor="text1"/>
          <w:sz w:val="22"/>
          <w:szCs w:val="22"/>
        </w:rPr>
        <w:t>4</w:t>
      </w:r>
      <w:r w:rsidRPr="00E1262C">
        <w:rPr>
          <w:rFonts w:asciiTheme="minorHAnsi" w:hAnsiTheme="minorHAnsi" w:cstheme="minorHAnsi"/>
          <w:color w:val="000000" w:themeColor="text1"/>
          <w:sz w:val="22"/>
          <w:szCs w:val="22"/>
        </w:rPr>
        <w:t>.  To ensure that all City residents had the opportunity to make comments, the Not</w:t>
      </w:r>
      <w:r w:rsidRPr="00356625">
        <w:rPr>
          <w:rFonts w:asciiTheme="minorHAnsi" w:hAnsiTheme="minorHAnsi" w:cstheme="minorHAnsi"/>
          <w:color w:val="000000" w:themeColor="text1"/>
          <w:sz w:val="22"/>
          <w:szCs w:val="22"/>
        </w:rPr>
        <w:t xml:space="preserve">ice included the date and time of the hearing, availability of the CAPER for review, the timeframe of the comment period, and details on how to submit their comment(s). The comment period commenced on August </w:t>
      </w:r>
      <w:r w:rsidR="00B748C5" w:rsidRPr="00356625">
        <w:rPr>
          <w:rFonts w:asciiTheme="minorHAnsi" w:hAnsiTheme="minorHAnsi" w:cstheme="minorHAnsi"/>
          <w:color w:val="000000" w:themeColor="text1"/>
          <w:sz w:val="22"/>
          <w:szCs w:val="22"/>
        </w:rPr>
        <w:t>2</w:t>
      </w:r>
      <w:r w:rsidR="00FE5B21" w:rsidRPr="00356625">
        <w:rPr>
          <w:rFonts w:asciiTheme="minorHAnsi" w:hAnsiTheme="minorHAnsi" w:cstheme="minorHAnsi"/>
          <w:color w:val="000000" w:themeColor="text1"/>
          <w:sz w:val="22"/>
          <w:szCs w:val="22"/>
        </w:rPr>
        <w:t>2</w:t>
      </w:r>
      <w:r w:rsidRPr="00356625">
        <w:rPr>
          <w:rFonts w:asciiTheme="minorHAnsi" w:hAnsiTheme="minorHAnsi" w:cstheme="minorHAnsi"/>
          <w:color w:val="000000" w:themeColor="text1"/>
          <w:sz w:val="22"/>
          <w:szCs w:val="22"/>
        </w:rPr>
        <w:t xml:space="preserve">, </w:t>
      </w:r>
      <w:r w:rsidR="00FB6A47" w:rsidRPr="00356625">
        <w:rPr>
          <w:rFonts w:asciiTheme="minorHAnsi" w:hAnsiTheme="minorHAnsi" w:cstheme="minorHAnsi"/>
          <w:color w:val="000000" w:themeColor="text1"/>
          <w:sz w:val="22"/>
          <w:szCs w:val="22"/>
        </w:rPr>
        <w:t>202</w:t>
      </w:r>
      <w:r w:rsidR="00FE5B21" w:rsidRPr="00356625">
        <w:rPr>
          <w:rFonts w:asciiTheme="minorHAnsi" w:hAnsiTheme="minorHAnsi" w:cstheme="minorHAnsi"/>
          <w:color w:val="000000" w:themeColor="text1"/>
          <w:sz w:val="22"/>
          <w:szCs w:val="22"/>
        </w:rPr>
        <w:t>4</w:t>
      </w:r>
      <w:r w:rsidR="00FB6A47" w:rsidRPr="00356625">
        <w:rPr>
          <w:rFonts w:asciiTheme="minorHAnsi" w:hAnsiTheme="minorHAnsi" w:cstheme="minorHAnsi"/>
          <w:color w:val="000000" w:themeColor="text1"/>
          <w:sz w:val="22"/>
          <w:szCs w:val="22"/>
        </w:rPr>
        <w:t>,</w:t>
      </w:r>
      <w:r w:rsidRPr="00356625">
        <w:rPr>
          <w:rFonts w:asciiTheme="minorHAnsi" w:hAnsiTheme="minorHAnsi" w:cstheme="minorHAnsi"/>
          <w:color w:val="000000" w:themeColor="text1"/>
          <w:sz w:val="22"/>
          <w:szCs w:val="22"/>
        </w:rPr>
        <w:t xml:space="preserve"> and ended on September 1</w:t>
      </w:r>
      <w:r w:rsidR="00FE5B21" w:rsidRPr="00356625">
        <w:rPr>
          <w:rFonts w:asciiTheme="minorHAnsi" w:hAnsiTheme="minorHAnsi" w:cstheme="minorHAnsi"/>
          <w:color w:val="000000" w:themeColor="text1"/>
          <w:sz w:val="22"/>
          <w:szCs w:val="22"/>
        </w:rPr>
        <w:t>0</w:t>
      </w:r>
      <w:r w:rsidRPr="00356625">
        <w:rPr>
          <w:rFonts w:asciiTheme="minorHAnsi" w:hAnsiTheme="minorHAnsi" w:cstheme="minorHAnsi"/>
          <w:color w:val="000000" w:themeColor="text1"/>
          <w:sz w:val="22"/>
          <w:szCs w:val="22"/>
        </w:rPr>
        <w:t>, 202</w:t>
      </w:r>
      <w:r w:rsidR="00FE5B21" w:rsidRPr="00356625">
        <w:rPr>
          <w:rFonts w:asciiTheme="minorHAnsi" w:hAnsiTheme="minorHAnsi" w:cstheme="minorHAnsi"/>
          <w:color w:val="000000" w:themeColor="text1"/>
          <w:sz w:val="22"/>
          <w:szCs w:val="22"/>
        </w:rPr>
        <w:t>4</w:t>
      </w:r>
      <w:r w:rsidRPr="00356625">
        <w:rPr>
          <w:rFonts w:asciiTheme="minorHAnsi" w:hAnsiTheme="minorHAnsi" w:cstheme="minorHAnsi"/>
          <w:color w:val="000000" w:themeColor="text1"/>
          <w:sz w:val="22"/>
          <w:szCs w:val="22"/>
        </w:rPr>
        <w:t>; the public hearing was held on September 1</w:t>
      </w:r>
      <w:r w:rsidR="00FE5B21" w:rsidRPr="00356625">
        <w:rPr>
          <w:rFonts w:asciiTheme="minorHAnsi" w:hAnsiTheme="minorHAnsi" w:cstheme="minorHAnsi"/>
          <w:color w:val="000000" w:themeColor="text1"/>
          <w:sz w:val="22"/>
          <w:szCs w:val="22"/>
        </w:rPr>
        <w:t>0</w:t>
      </w:r>
      <w:r w:rsidRPr="00356625">
        <w:rPr>
          <w:rFonts w:asciiTheme="minorHAnsi" w:hAnsiTheme="minorHAnsi" w:cstheme="minorHAnsi"/>
          <w:color w:val="000000" w:themeColor="text1"/>
          <w:sz w:val="22"/>
          <w:szCs w:val="22"/>
        </w:rPr>
        <w:t>, 202</w:t>
      </w:r>
      <w:r w:rsidR="00FE5B21" w:rsidRPr="00356625">
        <w:rPr>
          <w:rFonts w:asciiTheme="minorHAnsi" w:hAnsiTheme="minorHAnsi" w:cstheme="minorHAnsi"/>
          <w:color w:val="000000" w:themeColor="text1"/>
          <w:sz w:val="22"/>
          <w:szCs w:val="22"/>
        </w:rPr>
        <w:t>4</w:t>
      </w:r>
      <w:r w:rsidR="00BD7CEC" w:rsidRPr="00356625">
        <w:rPr>
          <w:rFonts w:asciiTheme="minorHAnsi" w:hAnsiTheme="minorHAnsi" w:cstheme="minorHAnsi"/>
          <w:color w:val="000000" w:themeColor="text1"/>
          <w:sz w:val="22"/>
          <w:szCs w:val="22"/>
        </w:rPr>
        <w:t xml:space="preserve">. </w:t>
      </w:r>
    </w:p>
    <w:p w14:paraId="33C92E51" w14:textId="77777777" w:rsidR="00BE059B" w:rsidRPr="00F62C37" w:rsidRDefault="00FB5456">
      <w:pPr>
        <w:keepNext/>
        <w:pageBreakBefore/>
        <w:widowControl w:val="0"/>
        <w:spacing w:before="240" w:after="60"/>
        <w:outlineLvl w:val="1"/>
        <w:rPr>
          <w:rFonts w:cs="Arial"/>
          <w:b/>
          <w:bCs/>
          <w:iCs/>
          <w:sz w:val="28"/>
          <w:szCs w:val="28"/>
        </w:rPr>
      </w:pPr>
      <w:bookmarkStart w:id="11" w:name="_Toc142647854"/>
      <w:r w:rsidRPr="00F62C37">
        <w:rPr>
          <w:rFonts w:cs="Arial"/>
          <w:b/>
          <w:bCs/>
          <w:iCs/>
          <w:sz w:val="28"/>
          <w:szCs w:val="28"/>
        </w:rPr>
        <w:lastRenderedPageBreak/>
        <w:t>CR-45 - CDBG 91.520(c)</w:t>
      </w:r>
      <w:bookmarkEnd w:id="11"/>
    </w:p>
    <w:p w14:paraId="4802B85C" w14:textId="05D142A9" w:rsidR="00BE059B" w:rsidRPr="00B67FE6" w:rsidRDefault="00FB5456">
      <w:pPr>
        <w:widowControl w:val="0"/>
        <w:rPr>
          <w:b/>
          <w:sz w:val="24"/>
          <w:szCs w:val="24"/>
        </w:rPr>
      </w:pPr>
      <w:r w:rsidRPr="00B67FE6">
        <w:rPr>
          <w:b/>
          <w:sz w:val="24"/>
          <w:szCs w:val="24"/>
        </w:rPr>
        <w:t xml:space="preserve">Specify the nature of, and reasons for, any changes in the jurisdiction’s program objectives and indications of how the jurisdiction would change its programs </w:t>
      </w:r>
      <w:proofErr w:type="gramStart"/>
      <w:r w:rsidRPr="00B67FE6">
        <w:rPr>
          <w:b/>
          <w:sz w:val="24"/>
          <w:szCs w:val="24"/>
        </w:rPr>
        <w:t>as a result of</w:t>
      </w:r>
      <w:proofErr w:type="gramEnd"/>
      <w:r w:rsidRPr="00B67FE6">
        <w:rPr>
          <w:b/>
          <w:sz w:val="24"/>
          <w:szCs w:val="24"/>
        </w:rPr>
        <w:t xml:space="preserve"> its experiences.</w:t>
      </w:r>
    </w:p>
    <w:p w14:paraId="162172AA" w14:textId="6A9A2F06" w:rsidR="00432133" w:rsidRPr="00B67FE6" w:rsidRDefault="00432133" w:rsidP="004E17D1">
      <w:pPr>
        <w:widowControl w:val="0"/>
        <w:jc w:val="both"/>
        <w:rPr>
          <w:rFonts w:eastAsiaTheme="minorEastAsia"/>
          <w:color w:val="000000"/>
          <w:shd w:val="clear" w:color="auto" w:fill="FFFFFF"/>
        </w:rPr>
      </w:pPr>
      <w:r w:rsidRPr="00B67FE6">
        <w:rPr>
          <w:rFonts w:eastAsiaTheme="minorEastAsia"/>
          <w:color w:val="000000"/>
          <w:shd w:val="clear" w:color="auto" w:fill="FFFFFF"/>
        </w:rPr>
        <w:t xml:space="preserve">The City did not find the need to make any changes to the program objectives identified in the City’s </w:t>
      </w:r>
      <w:r w:rsidR="00B67FE6">
        <w:rPr>
          <w:rFonts w:eastAsiaTheme="minorEastAsia"/>
          <w:color w:val="000000"/>
          <w:shd w:val="clear" w:color="auto" w:fill="FFFFFF"/>
        </w:rPr>
        <w:t xml:space="preserve">FY 2023-2024 </w:t>
      </w:r>
      <w:r w:rsidRPr="00B67FE6">
        <w:rPr>
          <w:rFonts w:eastAsiaTheme="minorEastAsia"/>
          <w:color w:val="000000"/>
          <w:shd w:val="clear" w:color="auto" w:fill="FFFFFF"/>
        </w:rPr>
        <w:t>Annual Action Plan.</w:t>
      </w:r>
    </w:p>
    <w:p w14:paraId="2B678095" w14:textId="35C8139B" w:rsidR="00BE059B" w:rsidRPr="00B67FE6" w:rsidRDefault="00FB5456">
      <w:pPr>
        <w:widowControl w:val="0"/>
        <w:rPr>
          <w:b/>
          <w:sz w:val="24"/>
          <w:szCs w:val="24"/>
        </w:rPr>
      </w:pPr>
      <w:r w:rsidRPr="00B67FE6">
        <w:rPr>
          <w:b/>
          <w:sz w:val="24"/>
          <w:szCs w:val="24"/>
        </w:rPr>
        <w:t>Does this Jurisdiction have any open Brownfields Economic Development Initiative (BEDI) grants?</w:t>
      </w:r>
    </w:p>
    <w:p w14:paraId="57A4FCB8" w14:textId="1E063011" w:rsidR="00C42658" w:rsidRPr="00B67FE6" w:rsidRDefault="00C42658">
      <w:pPr>
        <w:widowControl w:val="0"/>
        <w:rPr>
          <w:bCs/>
          <w:sz w:val="24"/>
          <w:szCs w:val="24"/>
        </w:rPr>
      </w:pPr>
      <w:r w:rsidRPr="00B67FE6">
        <w:rPr>
          <w:bCs/>
          <w:sz w:val="24"/>
          <w:szCs w:val="24"/>
        </w:rPr>
        <w:t xml:space="preserve">No, it does not. </w:t>
      </w:r>
    </w:p>
    <w:p w14:paraId="3CBCA1D4" w14:textId="35901AB2" w:rsidR="00BE059B" w:rsidRPr="00B67FE6" w:rsidRDefault="00FB5456">
      <w:pPr>
        <w:widowControl w:val="0"/>
        <w:rPr>
          <w:b/>
          <w:sz w:val="24"/>
          <w:szCs w:val="24"/>
        </w:rPr>
      </w:pPr>
      <w:r w:rsidRPr="00B67FE6">
        <w:rPr>
          <w:b/>
          <w:sz w:val="24"/>
          <w:szCs w:val="24"/>
        </w:rPr>
        <w:t xml:space="preserve">[BEDI </w:t>
      </w:r>
      <w:r w:rsidR="00F418AA" w:rsidRPr="00B67FE6">
        <w:rPr>
          <w:b/>
          <w:sz w:val="24"/>
          <w:szCs w:val="24"/>
        </w:rPr>
        <w:t>grantees] Describe</w:t>
      </w:r>
      <w:r w:rsidRPr="00B67FE6">
        <w:rPr>
          <w:b/>
          <w:sz w:val="24"/>
          <w:szCs w:val="24"/>
        </w:rPr>
        <w:t xml:space="preserve"> accomplishments and program outcomes during the last year.</w:t>
      </w:r>
    </w:p>
    <w:p w14:paraId="2860BF50" w14:textId="3FA5AE10" w:rsidR="00C42658" w:rsidRPr="00B67FE6" w:rsidRDefault="00C42658">
      <w:pPr>
        <w:widowControl w:val="0"/>
        <w:rPr>
          <w:bCs/>
          <w:sz w:val="24"/>
          <w:szCs w:val="24"/>
        </w:rPr>
      </w:pPr>
      <w:r w:rsidRPr="00B67FE6">
        <w:rPr>
          <w:bCs/>
          <w:sz w:val="24"/>
          <w:szCs w:val="24"/>
        </w:rPr>
        <w:t xml:space="preserve">Not applicable. </w:t>
      </w:r>
    </w:p>
    <w:p w14:paraId="2B9929B8" w14:textId="77777777" w:rsidR="00BE059B" w:rsidRPr="00767897" w:rsidRDefault="00BE059B">
      <w:pPr>
        <w:rPr>
          <w:highlight w:val="yellow"/>
        </w:rPr>
      </w:pPr>
    </w:p>
    <w:p w14:paraId="2DE23A4E" w14:textId="77777777" w:rsidR="00BE059B" w:rsidRPr="00767897" w:rsidRDefault="00BE059B">
      <w:pPr>
        <w:rPr>
          <w:highlight w:val="yellow"/>
        </w:rPr>
      </w:pPr>
    </w:p>
    <w:p w14:paraId="5AE3A098" w14:textId="77777777" w:rsidR="00BE059B" w:rsidRPr="007A639A" w:rsidRDefault="00FB5456">
      <w:pPr>
        <w:pStyle w:val="Heading2"/>
        <w:pageBreakBefore/>
        <w:widowControl w:val="0"/>
        <w:rPr>
          <w:rFonts w:ascii="Calibri" w:hAnsi="Calibri"/>
          <w:i w:val="0"/>
        </w:rPr>
      </w:pPr>
      <w:bookmarkStart w:id="12" w:name="_Toc142647855"/>
      <w:bookmarkStart w:id="13" w:name="_Hlk112225849"/>
      <w:r w:rsidRPr="007A639A">
        <w:rPr>
          <w:rFonts w:ascii="Calibri" w:hAnsi="Calibri"/>
          <w:i w:val="0"/>
        </w:rPr>
        <w:lastRenderedPageBreak/>
        <w:t>CR-50 - HOME 91.520(d)</w:t>
      </w:r>
      <w:bookmarkEnd w:id="12"/>
    </w:p>
    <w:p w14:paraId="6994D463" w14:textId="77777777" w:rsidR="00BE059B" w:rsidRPr="007A639A" w:rsidRDefault="00FB5456">
      <w:pPr>
        <w:widowControl w:val="0"/>
        <w:rPr>
          <w:b/>
          <w:sz w:val="24"/>
          <w:szCs w:val="24"/>
        </w:rPr>
      </w:pPr>
      <w:r w:rsidRPr="007A639A">
        <w:rPr>
          <w:b/>
          <w:sz w:val="24"/>
          <w:szCs w:val="24"/>
        </w:rPr>
        <w:t xml:space="preserve">Include the results of on-site inspections of affordable rental housing assisted under the program to determine compliance with housing codes and other applicable regulations </w:t>
      </w:r>
    </w:p>
    <w:p w14:paraId="0DA4CCC2" w14:textId="4A7E5C86" w:rsidR="00BE059B" w:rsidRPr="007A639A" w:rsidRDefault="00FB5456">
      <w:pPr>
        <w:widowControl w:val="0"/>
        <w:rPr>
          <w:b/>
          <w:bCs/>
          <w:sz w:val="24"/>
          <w:szCs w:val="24"/>
        </w:rPr>
      </w:pPr>
      <w:r w:rsidRPr="007A639A">
        <w:rPr>
          <w:b/>
          <w:bCs/>
          <w:sz w:val="24"/>
          <w:szCs w:val="24"/>
        </w:rPr>
        <w:t>Please list those projects that should have been inspected on-site this program year based upon the schedule in §92.504(d). Indicate which of these were inspected and a summary of issues that were detected during the inspection. For those that were not inspected, please indicate the reason and how you will remedy the situation.</w:t>
      </w:r>
    </w:p>
    <w:bookmarkEnd w:id="13"/>
    <w:p w14:paraId="7196B3FE" w14:textId="77E0A029" w:rsidR="007612BD" w:rsidRPr="007612BD" w:rsidRDefault="007612BD" w:rsidP="007066FC">
      <w:pPr>
        <w:widowControl w:val="0"/>
      </w:pPr>
      <w:r w:rsidRPr="007612BD">
        <w:t>In FY 23-24 the City of South Gate enlisted the services of Avant-Garde Inc. to complete on-site inspections and desk monitoring fo</w:t>
      </w:r>
      <w:r w:rsidR="00DC767F">
        <w:t>r their</w:t>
      </w:r>
      <w:r w:rsidRPr="007612BD">
        <w:t xml:space="preserve"> rental HOME-Assisted properties. The City created a schedule and coordinated with property managers to provide supporting documentation and demonstrate compliance with the Department of Housing and Urban Development (HUD) HOME regulations. The monitoring consisted of review of all relevant tenant, maintenance, financial and administrative files as well as property standards that meet HUD requirements along with other applicable regulations. </w:t>
      </w:r>
    </w:p>
    <w:p w14:paraId="676C1479" w14:textId="1FAA10F7" w:rsidR="005058C4" w:rsidRDefault="007066FC" w:rsidP="007066FC">
      <w:pPr>
        <w:widowControl w:val="0"/>
      </w:pPr>
      <w:r w:rsidRPr="00DC767F">
        <w:t>During monitoring for HOPE Housing, it was found that four (4) tenants</w:t>
      </w:r>
      <w:r w:rsidR="00DC767F">
        <w:t xml:space="preserve"> at each of their two properties</w:t>
      </w:r>
      <w:r w:rsidRPr="00DC767F">
        <w:t xml:space="preserve"> did not have sufficient source documentation in their files</w:t>
      </w:r>
      <w:r w:rsidR="00810EA3" w:rsidRPr="00DC767F">
        <w:t xml:space="preserve">, and that there were missing lease documents </w:t>
      </w:r>
      <w:r w:rsidR="00BA101E" w:rsidRPr="00DC767F">
        <w:t>in the files</w:t>
      </w:r>
      <w:r w:rsidRPr="00DC767F">
        <w:t xml:space="preserve">. As a corrective action staff requested that the property management provide all missing documentation. </w:t>
      </w:r>
      <w:r w:rsidR="00BA101E" w:rsidRPr="00DC767F">
        <w:t xml:space="preserve">The property management was able to provide missing </w:t>
      </w:r>
      <w:r w:rsidR="00DC767F" w:rsidRPr="00DC767F">
        <w:t>documentation,</w:t>
      </w:r>
      <w:r w:rsidR="00BA101E" w:rsidRPr="00DC767F">
        <w:t xml:space="preserve"> and the monitoring issues were </w:t>
      </w:r>
      <w:r w:rsidR="00DC767F" w:rsidRPr="00DC767F">
        <w:t xml:space="preserve">resolved. </w:t>
      </w:r>
    </w:p>
    <w:p w14:paraId="69155E04" w14:textId="19F50275" w:rsidR="007066FC" w:rsidRPr="000D4F4B" w:rsidRDefault="007066FC" w:rsidP="007066FC">
      <w:pPr>
        <w:widowControl w:val="0"/>
      </w:pPr>
      <w:r w:rsidRPr="000D4F4B">
        <w:t xml:space="preserve">Staff conducted </w:t>
      </w:r>
      <w:r w:rsidR="00857D4F" w:rsidRPr="000D4F4B">
        <w:t>d</w:t>
      </w:r>
      <w:r w:rsidRPr="000D4F4B">
        <w:t>esk monitoring for South Gate Realty Group</w:t>
      </w:r>
      <w:r w:rsidR="00542AAA" w:rsidRPr="000D4F4B">
        <w:t xml:space="preserve"> and noted that there were general property management documents missing</w:t>
      </w:r>
      <w:r w:rsidR="00215252" w:rsidRPr="000D4F4B">
        <w:t>, missing income source documentation, incorrect income calculations, and missing lease documents</w:t>
      </w:r>
      <w:r w:rsidRPr="000D4F4B">
        <w:t>. The property management group was able to correct the calculations for</w:t>
      </w:r>
      <w:r w:rsidR="004E5C82" w:rsidRPr="000D4F4B">
        <w:t xml:space="preserve"> the</w:t>
      </w:r>
      <w:r w:rsidRPr="000D4F4B">
        <w:t xml:space="preserve"> two units</w:t>
      </w:r>
      <w:r w:rsidR="004E5C82" w:rsidRPr="000D4F4B">
        <w:t xml:space="preserve"> and provide additional income documentation. </w:t>
      </w:r>
      <w:r w:rsidR="000D4F4B" w:rsidRPr="000D4F4B">
        <w:t>The general property documents are still pending with a due date of late August 2024.</w:t>
      </w:r>
      <w:r w:rsidRPr="000D4F4B">
        <w:t xml:space="preserve"> </w:t>
      </w:r>
    </w:p>
    <w:p w14:paraId="73C4A7C0" w14:textId="3863F469" w:rsidR="007066FC" w:rsidRPr="00767897" w:rsidRDefault="006A325F" w:rsidP="007066FC">
      <w:pPr>
        <w:widowControl w:val="0"/>
        <w:rPr>
          <w:highlight w:val="yellow"/>
        </w:rPr>
      </w:pPr>
      <w:r>
        <w:t xml:space="preserve"> </w:t>
      </w:r>
      <w:r w:rsidR="007066FC" w:rsidRPr="001F2EDE">
        <w:t>Finally, desk monitoring was also conducted for</w:t>
      </w:r>
      <w:r w:rsidR="008A53BE" w:rsidRPr="001F2EDE">
        <w:t xml:space="preserve"> seven (7)</w:t>
      </w:r>
      <w:r w:rsidR="007066FC" w:rsidRPr="001F2EDE">
        <w:t xml:space="preserve"> Newstart Housing Corporation. </w:t>
      </w:r>
      <w:r w:rsidR="007970BD" w:rsidRPr="001F2EDE">
        <w:t>Overall monitoring issues included</w:t>
      </w:r>
      <w:r w:rsidR="009574D3" w:rsidRPr="001F2EDE">
        <w:t xml:space="preserve"> missing income source documents, incorrect income calculations or incomes over the limits, </w:t>
      </w:r>
      <w:r w:rsidR="0058648D" w:rsidRPr="001F2EDE">
        <w:t>missing/incomplete documents, and missing property documen</w:t>
      </w:r>
      <w:r w:rsidR="00881F6F" w:rsidRPr="001F2EDE">
        <w:t>ts.</w:t>
      </w:r>
      <w:r w:rsidR="00CF25E2">
        <w:t xml:space="preserve"> Staff provided </w:t>
      </w:r>
      <w:r w:rsidR="00B659F2">
        <w:t xml:space="preserve">the property management </w:t>
      </w:r>
      <w:r w:rsidR="00CF25E2">
        <w:t>corrective actions</w:t>
      </w:r>
      <w:r w:rsidR="00B659F2">
        <w:t xml:space="preserve"> to comply with and one of the properties was able to comply with the corrective action. </w:t>
      </w:r>
      <w:r w:rsidR="00B110FE">
        <w:t xml:space="preserve">Corrective actions for the other six properties </w:t>
      </w:r>
      <w:r w:rsidR="00B110FE" w:rsidRPr="000D4F4B">
        <w:t xml:space="preserve">are still pending with a due date of late August 2024. </w:t>
      </w:r>
      <w:r w:rsidR="00CF25E2">
        <w:t xml:space="preserve"> </w:t>
      </w:r>
    </w:p>
    <w:p w14:paraId="414DAFF3" w14:textId="5C63C5F5" w:rsidR="00854F6D" w:rsidRPr="00B110FE" w:rsidRDefault="00854F6D" w:rsidP="00FB6A47">
      <w:pPr>
        <w:widowControl w:val="0"/>
      </w:pPr>
      <w:r w:rsidRPr="00B110FE">
        <w:t xml:space="preserve">The City of South Gate will continue to inspect units and monitor property management to ensure ongoing compliance with HUD HOME regulations.   </w:t>
      </w:r>
    </w:p>
    <w:p w14:paraId="76F2B21F" w14:textId="77777777" w:rsidR="007066FC" w:rsidRPr="00767897" w:rsidRDefault="007066FC" w:rsidP="00FB6A47">
      <w:pPr>
        <w:widowControl w:val="0"/>
        <w:rPr>
          <w:highlight w:val="yellow"/>
        </w:rPr>
      </w:pPr>
    </w:p>
    <w:p w14:paraId="064FEC72" w14:textId="33C0E7AC" w:rsidR="00BE059B" w:rsidRPr="00F53C49" w:rsidRDefault="00FB5456" w:rsidP="00FB6A47">
      <w:pPr>
        <w:widowControl w:val="0"/>
        <w:rPr>
          <w:b/>
          <w:sz w:val="24"/>
          <w:szCs w:val="24"/>
        </w:rPr>
      </w:pPr>
      <w:r w:rsidRPr="00F53C49">
        <w:rPr>
          <w:b/>
          <w:sz w:val="24"/>
          <w:szCs w:val="24"/>
        </w:rPr>
        <w:t>Provide an assessment of the jurisdiction's affirmative marketing actions for HOME units. 92.351(b)</w:t>
      </w:r>
    </w:p>
    <w:p w14:paraId="314DA61A" w14:textId="3CDDC08A" w:rsidR="000D527C" w:rsidRPr="00F53C49" w:rsidRDefault="000D527C">
      <w:pPr>
        <w:widowControl w:val="0"/>
        <w:spacing w:beforeAutospacing="1" w:afterAutospacing="1"/>
        <w:rPr>
          <w:rFonts w:cs="Arial"/>
        </w:rPr>
      </w:pPr>
      <w:r w:rsidRPr="00F53C49">
        <w:rPr>
          <w:rFonts w:cs="Arial"/>
        </w:rPr>
        <w:lastRenderedPageBreak/>
        <w:t>For all HOME funded rental projects, the City has obtained, reviewed, and approved Marketing Plans and Tenant Leases for compliance with HOME Program regulations.</w:t>
      </w:r>
    </w:p>
    <w:p w14:paraId="432E8D35" w14:textId="7AB0B836" w:rsidR="00BE059B" w:rsidRPr="00F53C49" w:rsidRDefault="00FB5456">
      <w:pPr>
        <w:widowControl w:val="0"/>
        <w:rPr>
          <w:b/>
          <w:sz w:val="24"/>
          <w:szCs w:val="24"/>
        </w:rPr>
      </w:pPr>
      <w:r w:rsidRPr="00F53C49">
        <w:rPr>
          <w:b/>
          <w:sz w:val="24"/>
          <w:szCs w:val="24"/>
        </w:rPr>
        <w:t>Refer to IDIS reports to describe the amount and use of program income for projects, including the number of projects and owner and tenant characteristics</w:t>
      </w:r>
    </w:p>
    <w:p w14:paraId="6897DF42" w14:textId="0BDBB3CA" w:rsidR="000D527C" w:rsidRPr="00F53C49" w:rsidRDefault="000D527C">
      <w:pPr>
        <w:widowControl w:val="0"/>
        <w:spacing w:beforeAutospacing="1" w:afterAutospacing="1"/>
        <w:rPr>
          <w:rFonts w:cs="Arial"/>
        </w:rPr>
      </w:pPr>
      <w:r w:rsidRPr="00F53C49">
        <w:rPr>
          <w:rFonts w:cs="Arial"/>
        </w:rPr>
        <w:t xml:space="preserve">There was no program income reported for FY </w:t>
      </w:r>
      <w:r w:rsidR="00FB5456" w:rsidRPr="00F53C49">
        <w:rPr>
          <w:rFonts w:cs="Arial"/>
        </w:rPr>
        <w:t>202</w:t>
      </w:r>
      <w:r w:rsidR="00F53C49" w:rsidRPr="00F53C49">
        <w:rPr>
          <w:rFonts w:cs="Arial"/>
        </w:rPr>
        <w:t>3</w:t>
      </w:r>
      <w:r w:rsidR="00FB5456" w:rsidRPr="00F53C49">
        <w:rPr>
          <w:rFonts w:cs="Arial"/>
        </w:rPr>
        <w:t>-202</w:t>
      </w:r>
      <w:r w:rsidR="00F53C49" w:rsidRPr="00F53C49">
        <w:rPr>
          <w:rFonts w:cs="Arial"/>
        </w:rPr>
        <w:t>4</w:t>
      </w:r>
      <w:r w:rsidRPr="00F53C49">
        <w:rPr>
          <w:rFonts w:cs="Arial"/>
        </w:rPr>
        <w:t xml:space="preserve"> for CDBG or HOME programs. </w:t>
      </w:r>
    </w:p>
    <w:p w14:paraId="581B21C0" w14:textId="77777777" w:rsidR="00BE059B" w:rsidRPr="00767897" w:rsidRDefault="00BE059B">
      <w:pPr>
        <w:widowControl w:val="0"/>
        <w:rPr>
          <w:rFonts w:cs="Arial"/>
          <w:szCs w:val="26"/>
          <w:highlight w:val="yellow"/>
        </w:rPr>
      </w:pPr>
    </w:p>
    <w:p w14:paraId="23EABA90" w14:textId="77777777" w:rsidR="00BE059B" w:rsidRPr="00767897" w:rsidRDefault="00BE059B">
      <w:pPr>
        <w:rPr>
          <w:highlight w:val="yellow"/>
        </w:rPr>
      </w:pPr>
    </w:p>
    <w:p w14:paraId="7F03EACB" w14:textId="77777777" w:rsidR="00BE059B" w:rsidRPr="00767897" w:rsidRDefault="00BE059B">
      <w:pPr>
        <w:rPr>
          <w:highlight w:val="yellow"/>
        </w:rPr>
      </w:pPr>
    </w:p>
    <w:p w14:paraId="54536EB2" w14:textId="77777777" w:rsidR="00BE059B" w:rsidRPr="008860D1" w:rsidRDefault="00FB5456">
      <w:pPr>
        <w:pStyle w:val="Heading2"/>
        <w:keepNext w:val="0"/>
        <w:pageBreakBefore/>
        <w:widowControl w:val="0"/>
        <w:rPr>
          <w:rFonts w:ascii="Calibri" w:hAnsi="Calibri"/>
          <w:i w:val="0"/>
        </w:rPr>
      </w:pPr>
      <w:bookmarkStart w:id="14" w:name="_Toc142647856"/>
      <w:r w:rsidRPr="008860D1">
        <w:rPr>
          <w:rFonts w:ascii="Calibri" w:hAnsi="Calibri"/>
          <w:i w:val="0"/>
        </w:rPr>
        <w:lastRenderedPageBreak/>
        <w:t>CR-58 – Section 3</w:t>
      </w:r>
      <w:bookmarkEnd w:id="14"/>
    </w:p>
    <w:p w14:paraId="39924A72" w14:textId="7D28A62B" w:rsidR="00BE059B" w:rsidRPr="008860D1" w:rsidRDefault="00FB5456">
      <w:pPr>
        <w:widowControl w:val="0"/>
        <w:rPr>
          <w:b/>
          <w:sz w:val="24"/>
          <w:szCs w:val="24"/>
        </w:rPr>
      </w:pPr>
      <w:r w:rsidRPr="008860D1">
        <w:rPr>
          <w:b/>
          <w:sz w:val="24"/>
          <w:szCs w:val="24"/>
        </w:rPr>
        <w:t xml:space="preserve">Identify the number of individuals assisted and the types of assistance provided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95"/>
        <w:gridCol w:w="4055"/>
      </w:tblGrid>
      <w:tr w:rsidR="00163934" w:rsidRPr="008860D1" w14:paraId="2DC72EE2" w14:textId="77777777" w:rsidTr="00345886">
        <w:trPr>
          <w:cantSplit/>
        </w:trPr>
        <w:tc>
          <w:tcPr>
            <w:tcW w:w="5335" w:type="dxa"/>
          </w:tcPr>
          <w:p w14:paraId="3C3EC544" w14:textId="77777777" w:rsidR="00345886" w:rsidRPr="008860D1" w:rsidRDefault="00345886">
            <w:pPr>
              <w:keepNext/>
              <w:widowControl w:val="0"/>
              <w:tabs>
                <w:tab w:val="left" w:pos="2070"/>
              </w:tabs>
              <w:spacing w:after="0" w:line="240" w:lineRule="auto"/>
              <w:ind w:right="162"/>
              <w:jc w:val="center"/>
              <w:rPr>
                <w:b/>
              </w:rPr>
            </w:pPr>
            <w:r w:rsidRPr="008860D1">
              <w:rPr>
                <w:b/>
              </w:rPr>
              <w:t>Total Labor Hours</w:t>
            </w:r>
          </w:p>
        </w:tc>
        <w:tc>
          <w:tcPr>
            <w:tcW w:w="4085" w:type="dxa"/>
          </w:tcPr>
          <w:p w14:paraId="4F2290FA" w14:textId="77777777" w:rsidR="00345886" w:rsidRPr="008860D1" w:rsidRDefault="00345886">
            <w:pPr>
              <w:keepNext/>
              <w:widowControl w:val="0"/>
              <w:spacing w:after="0" w:line="240" w:lineRule="auto"/>
              <w:jc w:val="center"/>
              <w:rPr>
                <w:b/>
              </w:rPr>
            </w:pPr>
            <w:r w:rsidRPr="008860D1">
              <w:rPr>
                <w:b/>
              </w:rPr>
              <w:t>CDBG</w:t>
            </w:r>
          </w:p>
        </w:tc>
      </w:tr>
      <w:tr w:rsidR="00163934" w:rsidRPr="008860D1" w14:paraId="037B1D56" w14:textId="77777777" w:rsidTr="00345886">
        <w:trPr>
          <w:cantSplit/>
        </w:trPr>
        <w:tc>
          <w:tcPr>
            <w:tcW w:w="5335" w:type="dxa"/>
            <w:vAlign w:val="center"/>
          </w:tcPr>
          <w:p w14:paraId="4D5E530A" w14:textId="77777777" w:rsidR="00345886" w:rsidRPr="008860D1" w:rsidRDefault="00345886">
            <w:pPr>
              <w:spacing w:beforeAutospacing="1" w:afterAutospacing="1"/>
            </w:pPr>
            <w:r w:rsidRPr="008860D1">
              <w:rPr>
                <w:rFonts w:ascii="Arial" w:hAnsi="Arial"/>
                <w:sz w:val="16"/>
              </w:rPr>
              <w:t>Total Number of Activities</w:t>
            </w:r>
          </w:p>
        </w:tc>
        <w:tc>
          <w:tcPr>
            <w:tcW w:w="4085" w:type="dxa"/>
            <w:vAlign w:val="center"/>
          </w:tcPr>
          <w:p w14:paraId="36A496A7" w14:textId="31DFB808"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0292F2A4" w14:textId="77777777" w:rsidTr="00345886">
        <w:trPr>
          <w:cantSplit/>
        </w:trPr>
        <w:tc>
          <w:tcPr>
            <w:tcW w:w="5335" w:type="dxa"/>
            <w:vAlign w:val="center"/>
          </w:tcPr>
          <w:p w14:paraId="252111C9" w14:textId="77777777" w:rsidR="00345886" w:rsidRPr="008860D1" w:rsidRDefault="00345886">
            <w:pPr>
              <w:spacing w:beforeAutospacing="1" w:afterAutospacing="1"/>
            </w:pPr>
            <w:r w:rsidRPr="008860D1">
              <w:rPr>
                <w:rFonts w:ascii="Arial" w:hAnsi="Arial"/>
                <w:sz w:val="16"/>
              </w:rPr>
              <w:t>Total Labor Hours</w:t>
            </w:r>
          </w:p>
        </w:tc>
        <w:tc>
          <w:tcPr>
            <w:tcW w:w="4085" w:type="dxa"/>
            <w:vAlign w:val="center"/>
          </w:tcPr>
          <w:p w14:paraId="00B3FF93" w14:textId="1B7BBDF4"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4D039ABB" w14:textId="77777777" w:rsidTr="00345886">
        <w:trPr>
          <w:cantSplit/>
        </w:trPr>
        <w:tc>
          <w:tcPr>
            <w:tcW w:w="5335" w:type="dxa"/>
            <w:vAlign w:val="center"/>
          </w:tcPr>
          <w:p w14:paraId="5A7337DF" w14:textId="77777777" w:rsidR="00345886" w:rsidRPr="008860D1" w:rsidRDefault="00345886">
            <w:pPr>
              <w:spacing w:beforeAutospacing="1" w:afterAutospacing="1"/>
            </w:pPr>
            <w:r w:rsidRPr="008860D1">
              <w:rPr>
                <w:rFonts w:ascii="Arial" w:hAnsi="Arial"/>
                <w:sz w:val="16"/>
              </w:rPr>
              <w:t>Total Section 3 Worker Hours</w:t>
            </w:r>
          </w:p>
        </w:tc>
        <w:tc>
          <w:tcPr>
            <w:tcW w:w="4085" w:type="dxa"/>
            <w:vAlign w:val="center"/>
          </w:tcPr>
          <w:p w14:paraId="11334BFF" w14:textId="7532F6B4"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547A3609" w14:textId="77777777" w:rsidTr="00345886">
        <w:trPr>
          <w:cantSplit/>
        </w:trPr>
        <w:tc>
          <w:tcPr>
            <w:tcW w:w="5335" w:type="dxa"/>
            <w:vAlign w:val="center"/>
          </w:tcPr>
          <w:p w14:paraId="1E53DA3E" w14:textId="77777777" w:rsidR="00345886" w:rsidRPr="008860D1" w:rsidRDefault="00345886">
            <w:pPr>
              <w:spacing w:beforeAutospacing="1" w:afterAutospacing="1"/>
            </w:pPr>
            <w:r w:rsidRPr="008860D1">
              <w:rPr>
                <w:rFonts w:ascii="Arial" w:hAnsi="Arial"/>
                <w:sz w:val="16"/>
              </w:rPr>
              <w:t>Total Targeted Section 3 Worker Hours</w:t>
            </w:r>
          </w:p>
        </w:tc>
        <w:tc>
          <w:tcPr>
            <w:tcW w:w="4085" w:type="dxa"/>
            <w:vAlign w:val="center"/>
          </w:tcPr>
          <w:p w14:paraId="11E83BFE" w14:textId="3F2F5904" w:rsidR="00345886" w:rsidRPr="008860D1" w:rsidRDefault="00345886" w:rsidP="00345886">
            <w:pPr>
              <w:spacing w:beforeAutospacing="1" w:afterAutospacing="1"/>
              <w:jc w:val="center"/>
            </w:pPr>
            <w:r w:rsidRPr="008860D1">
              <w:rPr>
                <w:rFonts w:ascii="Arial" w:hAnsi="Arial"/>
                <w:sz w:val="16"/>
              </w:rPr>
              <w:t>0</w:t>
            </w:r>
          </w:p>
        </w:tc>
      </w:tr>
    </w:tbl>
    <w:p w14:paraId="6F77D0F5" w14:textId="77777777" w:rsidR="00BE059B" w:rsidRPr="008860D1" w:rsidRDefault="00FB5456">
      <w:pPr>
        <w:pStyle w:val="Caption"/>
        <w:jc w:val="center"/>
        <w:rPr>
          <w:rFonts w:asciiTheme="minorHAnsi" w:hAnsiTheme="minorHAnsi"/>
        </w:rPr>
      </w:pPr>
      <w:r w:rsidRPr="008860D1">
        <w:rPr>
          <w:rFonts w:asciiTheme="minorHAnsi" w:hAnsiTheme="minorHAnsi"/>
        </w:rPr>
        <w:t xml:space="preserve">Table </w:t>
      </w:r>
      <w:r w:rsidRPr="008860D1">
        <w:rPr>
          <w:rFonts w:asciiTheme="minorHAnsi" w:hAnsiTheme="minorHAnsi"/>
        </w:rPr>
        <w:fldChar w:fldCharType="begin"/>
      </w:r>
      <w:r w:rsidRPr="008860D1">
        <w:rPr>
          <w:rFonts w:asciiTheme="minorHAnsi" w:hAnsiTheme="minorHAnsi"/>
        </w:rPr>
        <w:instrText xml:space="preserve"> SEQ Table \* ARABIC </w:instrText>
      </w:r>
      <w:r w:rsidRPr="008860D1">
        <w:rPr>
          <w:rFonts w:asciiTheme="minorHAnsi" w:hAnsiTheme="minorHAnsi"/>
        </w:rPr>
        <w:fldChar w:fldCharType="separate"/>
      </w:r>
      <w:r w:rsidRPr="008860D1">
        <w:rPr>
          <w:rFonts w:asciiTheme="minorHAnsi" w:hAnsiTheme="minorHAnsi"/>
        </w:rPr>
        <w:t>15</w:t>
      </w:r>
      <w:r w:rsidRPr="008860D1">
        <w:rPr>
          <w:rFonts w:asciiTheme="minorHAnsi" w:hAnsiTheme="minorHAnsi"/>
        </w:rPr>
        <w:fldChar w:fldCharType="end"/>
      </w:r>
      <w:r w:rsidRPr="008860D1">
        <w:rPr>
          <w:rFonts w:asciiTheme="minorHAnsi" w:hAnsiTheme="minorHAnsi"/>
        </w:rPr>
        <w:t xml:space="preserve"> – Total Labor Hours</w:t>
      </w:r>
    </w:p>
    <w:p w14:paraId="6298311A" w14:textId="77777777" w:rsidR="00BE059B" w:rsidRPr="008860D1" w:rsidRDefault="00BE059B">
      <w:pPr>
        <w:widowControl w:val="0"/>
        <w:rPr>
          <w:b/>
          <w:sz w:val="24"/>
          <w:szCs w:val="24"/>
        </w:rPr>
      </w:pPr>
    </w:p>
    <w:tbl>
      <w:tblPr>
        <w:tblW w:w="498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20"/>
        <w:gridCol w:w="2609"/>
      </w:tblGrid>
      <w:tr w:rsidR="00163934" w:rsidRPr="008860D1" w14:paraId="06D71B71" w14:textId="77777777" w:rsidTr="008860D1">
        <w:trPr>
          <w:cantSplit/>
        </w:trPr>
        <w:tc>
          <w:tcPr>
            <w:tcW w:w="6720" w:type="dxa"/>
          </w:tcPr>
          <w:p w14:paraId="03A09415" w14:textId="77777777" w:rsidR="00345886" w:rsidRPr="008860D1" w:rsidRDefault="00345886">
            <w:pPr>
              <w:keepNext/>
              <w:widowControl w:val="0"/>
              <w:tabs>
                <w:tab w:val="left" w:pos="2070"/>
              </w:tabs>
              <w:spacing w:after="0" w:line="240" w:lineRule="auto"/>
              <w:ind w:right="162"/>
              <w:jc w:val="center"/>
              <w:rPr>
                <w:b/>
              </w:rPr>
            </w:pPr>
            <w:r w:rsidRPr="008860D1">
              <w:rPr>
                <w:b/>
              </w:rPr>
              <w:t>Qualitative Efforts - Number of Activities by Program</w:t>
            </w:r>
          </w:p>
        </w:tc>
        <w:tc>
          <w:tcPr>
            <w:tcW w:w="2609" w:type="dxa"/>
          </w:tcPr>
          <w:p w14:paraId="425D90BE" w14:textId="77777777" w:rsidR="00345886" w:rsidRPr="008860D1" w:rsidRDefault="00345886">
            <w:pPr>
              <w:keepNext/>
              <w:widowControl w:val="0"/>
              <w:spacing w:after="0" w:line="240" w:lineRule="auto"/>
              <w:jc w:val="center"/>
              <w:rPr>
                <w:b/>
              </w:rPr>
            </w:pPr>
            <w:r w:rsidRPr="008860D1">
              <w:rPr>
                <w:b/>
              </w:rPr>
              <w:t>CDBG</w:t>
            </w:r>
          </w:p>
        </w:tc>
      </w:tr>
      <w:tr w:rsidR="00163934" w:rsidRPr="008860D1" w14:paraId="163C58A0" w14:textId="77777777" w:rsidTr="008860D1">
        <w:trPr>
          <w:cantSplit/>
        </w:trPr>
        <w:tc>
          <w:tcPr>
            <w:tcW w:w="6720" w:type="dxa"/>
            <w:vAlign w:val="center"/>
          </w:tcPr>
          <w:p w14:paraId="0544767A" w14:textId="77777777" w:rsidR="00345886" w:rsidRPr="008860D1" w:rsidRDefault="00345886" w:rsidP="00345886">
            <w:pPr>
              <w:spacing w:beforeAutospacing="1" w:afterAutospacing="1"/>
            </w:pPr>
            <w:r w:rsidRPr="008860D1">
              <w:rPr>
                <w:rFonts w:ascii="Arial" w:hAnsi="Arial"/>
                <w:sz w:val="16"/>
              </w:rPr>
              <w:t>Outreach efforts to generate job applicants who are Public Housing Targeted Workers</w:t>
            </w:r>
          </w:p>
        </w:tc>
        <w:tc>
          <w:tcPr>
            <w:tcW w:w="2609" w:type="dxa"/>
          </w:tcPr>
          <w:p w14:paraId="2E81D12E" w14:textId="1D10DF65"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6328D83C" w14:textId="77777777" w:rsidTr="008860D1">
        <w:trPr>
          <w:cantSplit/>
        </w:trPr>
        <w:tc>
          <w:tcPr>
            <w:tcW w:w="6720" w:type="dxa"/>
            <w:vAlign w:val="center"/>
          </w:tcPr>
          <w:p w14:paraId="2420BB68" w14:textId="77777777" w:rsidR="00345886" w:rsidRPr="008860D1" w:rsidRDefault="00345886" w:rsidP="00345886">
            <w:pPr>
              <w:spacing w:beforeAutospacing="1" w:afterAutospacing="1"/>
            </w:pPr>
            <w:r w:rsidRPr="008860D1">
              <w:rPr>
                <w:rFonts w:ascii="Arial" w:hAnsi="Arial"/>
                <w:sz w:val="16"/>
              </w:rPr>
              <w:t>Outreach efforts to generate job applicants who are Other Funding Targeted Workers.</w:t>
            </w:r>
          </w:p>
        </w:tc>
        <w:tc>
          <w:tcPr>
            <w:tcW w:w="2609" w:type="dxa"/>
          </w:tcPr>
          <w:p w14:paraId="16C250FC" w14:textId="3D8B5BA8"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205D8407" w14:textId="77777777" w:rsidTr="008860D1">
        <w:trPr>
          <w:cantSplit/>
        </w:trPr>
        <w:tc>
          <w:tcPr>
            <w:tcW w:w="6720" w:type="dxa"/>
            <w:vAlign w:val="center"/>
          </w:tcPr>
          <w:p w14:paraId="30FC51F6" w14:textId="77777777" w:rsidR="00345886" w:rsidRPr="008860D1" w:rsidRDefault="00345886" w:rsidP="00345886">
            <w:pPr>
              <w:spacing w:beforeAutospacing="1" w:afterAutospacing="1"/>
            </w:pPr>
            <w:r w:rsidRPr="008860D1">
              <w:rPr>
                <w:rFonts w:ascii="Arial" w:hAnsi="Arial"/>
                <w:sz w:val="16"/>
              </w:rPr>
              <w:t>Direct, on-the job training (including apprenticeships).</w:t>
            </w:r>
          </w:p>
        </w:tc>
        <w:tc>
          <w:tcPr>
            <w:tcW w:w="2609" w:type="dxa"/>
          </w:tcPr>
          <w:p w14:paraId="5AE10DE0" w14:textId="3539EC2B"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41954D8C" w14:textId="77777777" w:rsidTr="008860D1">
        <w:trPr>
          <w:cantSplit/>
        </w:trPr>
        <w:tc>
          <w:tcPr>
            <w:tcW w:w="6720" w:type="dxa"/>
            <w:vAlign w:val="center"/>
          </w:tcPr>
          <w:p w14:paraId="3E9ED344" w14:textId="77777777" w:rsidR="00345886" w:rsidRPr="008860D1" w:rsidRDefault="00345886" w:rsidP="00345886">
            <w:pPr>
              <w:spacing w:beforeAutospacing="1" w:afterAutospacing="1"/>
            </w:pPr>
            <w:r w:rsidRPr="008860D1">
              <w:rPr>
                <w:rFonts w:ascii="Arial" w:hAnsi="Arial"/>
                <w:sz w:val="16"/>
              </w:rPr>
              <w:t>Indirect training such as arranging for, contracting for, or paying tuition for, off-site training.</w:t>
            </w:r>
          </w:p>
        </w:tc>
        <w:tc>
          <w:tcPr>
            <w:tcW w:w="2609" w:type="dxa"/>
          </w:tcPr>
          <w:p w14:paraId="6E1B9F8F" w14:textId="7015CA3E"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239FA4F8" w14:textId="77777777" w:rsidTr="008860D1">
        <w:trPr>
          <w:cantSplit/>
        </w:trPr>
        <w:tc>
          <w:tcPr>
            <w:tcW w:w="6720" w:type="dxa"/>
            <w:vAlign w:val="center"/>
          </w:tcPr>
          <w:p w14:paraId="17CCD87E" w14:textId="77777777" w:rsidR="00345886" w:rsidRPr="008860D1" w:rsidRDefault="00345886" w:rsidP="00345886">
            <w:pPr>
              <w:spacing w:beforeAutospacing="1" w:afterAutospacing="1"/>
            </w:pPr>
            <w:r w:rsidRPr="008860D1">
              <w:rPr>
                <w:rFonts w:ascii="Arial" w:hAnsi="Arial"/>
                <w:sz w:val="16"/>
              </w:rPr>
              <w:t>Technical assistance to help Section 3 workers compete for jobs (e.g., resume assistance, coaching).</w:t>
            </w:r>
          </w:p>
        </w:tc>
        <w:tc>
          <w:tcPr>
            <w:tcW w:w="2609" w:type="dxa"/>
          </w:tcPr>
          <w:p w14:paraId="289A0B14" w14:textId="0DFCB303"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6F21BC47" w14:textId="77777777" w:rsidTr="008860D1">
        <w:trPr>
          <w:cantSplit/>
        </w:trPr>
        <w:tc>
          <w:tcPr>
            <w:tcW w:w="6720" w:type="dxa"/>
            <w:vAlign w:val="center"/>
          </w:tcPr>
          <w:p w14:paraId="3E888F04" w14:textId="77777777" w:rsidR="00345886" w:rsidRPr="008860D1" w:rsidRDefault="00345886" w:rsidP="00345886">
            <w:pPr>
              <w:spacing w:beforeAutospacing="1" w:afterAutospacing="1"/>
            </w:pPr>
            <w:r w:rsidRPr="008860D1">
              <w:rPr>
                <w:rFonts w:ascii="Arial" w:hAnsi="Arial"/>
                <w:sz w:val="16"/>
              </w:rPr>
              <w:t>Outreach efforts to identify and secure bids from Section 3 business concerns.</w:t>
            </w:r>
          </w:p>
        </w:tc>
        <w:tc>
          <w:tcPr>
            <w:tcW w:w="2609" w:type="dxa"/>
          </w:tcPr>
          <w:p w14:paraId="17E36CE3" w14:textId="7A848C33"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5F0C2A9B" w14:textId="77777777" w:rsidTr="008860D1">
        <w:trPr>
          <w:cantSplit/>
        </w:trPr>
        <w:tc>
          <w:tcPr>
            <w:tcW w:w="6720" w:type="dxa"/>
            <w:vAlign w:val="center"/>
          </w:tcPr>
          <w:p w14:paraId="7C40E308" w14:textId="77777777" w:rsidR="00345886" w:rsidRPr="008860D1" w:rsidRDefault="00345886" w:rsidP="00345886">
            <w:pPr>
              <w:spacing w:beforeAutospacing="1" w:afterAutospacing="1"/>
            </w:pPr>
            <w:r w:rsidRPr="008860D1">
              <w:rPr>
                <w:rFonts w:ascii="Arial" w:hAnsi="Arial"/>
                <w:sz w:val="16"/>
              </w:rPr>
              <w:t>Technical assistance to help Section 3 business concerns understand and bid on contracts.</w:t>
            </w:r>
          </w:p>
        </w:tc>
        <w:tc>
          <w:tcPr>
            <w:tcW w:w="2609" w:type="dxa"/>
          </w:tcPr>
          <w:p w14:paraId="605291D5" w14:textId="0199CCB1"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5555AAA9" w14:textId="77777777" w:rsidTr="008860D1">
        <w:trPr>
          <w:cantSplit/>
        </w:trPr>
        <w:tc>
          <w:tcPr>
            <w:tcW w:w="6720" w:type="dxa"/>
            <w:vAlign w:val="center"/>
          </w:tcPr>
          <w:p w14:paraId="70CB75D7" w14:textId="77777777" w:rsidR="00345886" w:rsidRPr="008860D1" w:rsidRDefault="00345886" w:rsidP="00345886">
            <w:pPr>
              <w:spacing w:beforeAutospacing="1" w:afterAutospacing="1"/>
            </w:pPr>
            <w:r w:rsidRPr="008860D1">
              <w:rPr>
                <w:rFonts w:ascii="Arial" w:hAnsi="Arial"/>
                <w:sz w:val="16"/>
              </w:rPr>
              <w:t>Division of contracts into smaller jobs to facilitate participation by Section 3 business concerns.</w:t>
            </w:r>
          </w:p>
        </w:tc>
        <w:tc>
          <w:tcPr>
            <w:tcW w:w="2609" w:type="dxa"/>
          </w:tcPr>
          <w:p w14:paraId="4874AAC6" w14:textId="495AC634"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5C42B301" w14:textId="77777777" w:rsidTr="008860D1">
        <w:trPr>
          <w:cantSplit/>
        </w:trPr>
        <w:tc>
          <w:tcPr>
            <w:tcW w:w="6720" w:type="dxa"/>
            <w:vAlign w:val="center"/>
          </w:tcPr>
          <w:p w14:paraId="5280F5FA" w14:textId="769D2A2D" w:rsidR="00345886" w:rsidRPr="008860D1" w:rsidRDefault="00345886" w:rsidP="00345886">
            <w:pPr>
              <w:spacing w:beforeAutospacing="1" w:afterAutospacing="1"/>
            </w:pPr>
            <w:r w:rsidRPr="008860D1">
              <w:rPr>
                <w:rFonts w:ascii="Arial" w:hAnsi="Arial"/>
                <w:sz w:val="16"/>
              </w:rPr>
              <w:t xml:space="preserve">Provided or connected residents with assistance in seeking employment </w:t>
            </w:r>
            <w:proofErr w:type="gramStart"/>
            <w:r w:rsidRPr="008860D1">
              <w:rPr>
                <w:rFonts w:ascii="Arial" w:hAnsi="Arial"/>
                <w:sz w:val="16"/>
              </w:rPr>
              <w:t>including:</w:t>
            </w:r>
            <w:proofErr w:type="gramEnd"/>
            <w:r w:rsidRPr="008860D1">
              <w:rPr>
                <w:rFonts w:ascii="Arial" w:hAnsi="Arial"/>
                <w:sz w:val="16"/>
              </w:rPr>
              <w:t xml:space="preserve"> drafting resumes, preparing for interviews, finding job opportunities, connecting residents to job placement services.</w:t>
            </w:r>
          </w:p>
        </w:tc>
        <w:tc>
          <w:tcPr>
            <w:tcW w:w="2609" w:type="dxa"/>
          </w:tcPr>
          <w:p w14:paraId="386956D5" w14:textId="57D9EA8E"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21EC680A" w14:textId="77777777" w:rsidTr="008860D1">
        <w:trPr>
          <w:cantSplit/>
        </w:trPr>
        <w:tc>
          <w:tcPr>
            <w:tcW w:w="6720" w:type="dxa"/>
            <w:vAlign w:val="center"/>
          </w:tcPr>
          <w:p w14:paraId="05DA1C69" w14:textId="77777777" w:rsidR="00345886" w:rsidRPr="008860D1" w:rsidRDefault="00345886" w:rsidP="00345886">
            <w:pPr>
              <w:spacing w:beforeAutospacing="1" w:afterAutospacing="1"/>
            </w:pPr>
            <w:r w:rsidRPr="008860D1">
              <w:rPr>
                <w:rFonts w:ascii="Arial" w:hAnsi="Arial"/>
                <w:sz w:val="16"/>
              </w:rPr>
              <w:t>Held one or more job fairs.</w:t>
            </w:r>
          </w:p>
        </w:tc>
        <w:tc>
          <w:tcPr>
            <w:tcW w:w="2609" w:type="dxa"/>
          </w:tcPr>
          <w:p w14:paraId="1B80A2F7" w14:textId="7AFBAA7B"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427956F9" w14:textId="77777777" w:rsidTr="008860D1">
        <w:trPr>
          <w:cantSplit/>
        </w:trPr>
        <w:tc>
          <w:tcPr>
            <w:tcW w:w="6720" w:type="dxa"/>
            <w:vAlign w:val="center"/>
          </w:tcPr>
          <w:p w14:paraId="055FF9EA" w14:textId="77777777" w:rsidR="00345886" w:rsidRPr="008860D1" w:rsidRDefault="00345886" w:rsidP="00345886">
            <w:pPr>
              <w:spacing w:beforeAutospacing="1" w:afterAutospacing="1"/>
            </w:pPr>
            <w:r w:rsidRPr="008860D1">
              <w:rPr>
                <w:rFonts w:ascii="Arial" w:hAnsi="Arial"/>
                <w:sz w:val="16"/>
              </w:rPr>
              <w:t>Provided or connected residents with supportive services that can provide direct services or referrals.</w:t>
            </w:r>
          </w:p>
        </w:tc>
        <w:tc>
          <w:tcPr>
            <w:tcW w:w="2609" w:type="dxa"/>
          </w:tcPr>
          <w:p w14:paraId="4E0334EA" w14:textId="4F7603E7"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0EE7775D" w14:textId="77777777" w:rsidTr="008860D1">
        <w:trPr>
          <w:cantSplit/>
        </w:trPr>
        <w:tc>
          <w:tcPr>
            <w:tcW w:w="6720" w:type="dxa"/>
            <w:vAlign w:val="center"/>
          </w:tcPr>
          <w:p w14:paraId="440A6825" w14:textId="77777777" w:rsidR="00345886" w:rsidRPr="008860D1" w:rsidRDefault="00345886" w:rsidP="00345886">
            <w:pPr>
              <w:spacing w:beforeAutospacing="1" w:afterAutospacing="1"/>
            </w:pPr>
            <w:r w:rsidRPr="008860D1">
              <w:rPr>
                <w:rFonts w:ascii="Arial" w:hAnsi="Arial"/>
                <w:sz w:val="16"/>
              </w:rPr>
              <w:t>Provided or connected residents with supportive services that provide one or more of the following: work readiness health screenings, interview clothing, uniforms, test fees, transportation.</w:t>
            </w:r>
          </w:p>
        </w:tc>
        <w:tc>
          <w:tcPr>
            <w:tcW w:w="2609" w:type="dxa"/>
          </w:tcPr>
          <w:p w14:paraId="5E4A3D8A" w14:textId="47A99D62"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6CB5C539" w14:textId="77777777" w:rsidTr="008860D1">
        <w:trPr>
          <w:cantSplit/>
        </w:trPr>
        <w:tc>
          <w:tcPr>
            <w:tcW w:w="6720" w:type="dxa"/>
            <w:vAlign w:val="center"/>
          </w:tcPr>
          <w:p w14:paraId="60DAD5CB" w14:textId="77777777" w:rsidR="00345886" w:rsidRPr="008860D1" w:rsidRDefault="00345886" w:rsidP="00345886">
            <w:pPr>
              <w:spacing w:beforeAutospacing="1" w:afterAutospacing="1"/>
            </w:pPr>
            <w:r w:rsidRPr="008860D1">
              <w:rPr>
                <w:rFonts w:ascii="Arial" w:hAnsi="Arial"/>
                <w:sz w:val="16"/>
              </w:rPr>
              <w:t xml:space="preserve">Assisted residents with finding </w:t>
            </w:r>
            <w:proofErr w:type="gramStart"/>
            <w:r w:rsidRPr="008860D1">
              <w:rPr>
                <w:rFonts w:ascii="Arial" w:hAnsi="Arial"/>
                <w:sz w:val="16"/>
              </w:rPr>
              <w:t>child care</w:t>
            </w:r>
            <w:proofErr w:type="gramEnd"/>
            <w:r w:rsidRPr="008860D1">
              <w:rPr>
                <w:rFonts w:ascii="Arial" w:hAnsi="Arial"/>
                <w:sz w:val="16"/>
              </w:rPr>
              <w:t>.</w:t>
            </w:r>
          </w:p>
        </w:tc>
        <w:tc>
          <w:tcPr>
            <w:tcW w:w="2609" w:type="dxa"/>
          </w:tcPr>
          <w:p w14:paraId="4648B0A0" w14:textId="28ACA031"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439ABD26" w14:textId="77777777" w:rsidTr="008860D1">
        <w:trPr>
          <w:cantSplit/>
        </w:trPr>
        <w:tc>
          <w:tcPr>
            <w:tcW w:w="6720" w:type="dxa"/>
            <w:vAlign w:val="center"/>
          </w:tcPr>
          <w:p w14:paraId="145C11CC" w14:textId="77777777" w:rsidR="00345886" w:rsidRPr="008860D1" w:rsidRDefault="00345886" w:rsidP="00345886">
            <w:pPr>
              <w:spacing w:beforeAutospacing="1" w:afterAutospacing="1"/>
            </w:pPr>
            <w:r w:rsidRPr="008860D1">
              <w:rPr>
                <w:rFonts w:ascii="Arial" w:hAnsi="Arial"/>
                <w:sz w:val="16"/>
              </w:rPr>
              <w:t xml:space="preserve">Assisted residents to apply </w:t>
            </w:r>
            <w:proofErr w:type="gramStart"/>
            <w:r w:rsidRPr="008860D1">
              <w:rPr>
                <w:rFonts w:ascii="Arial" w:hAnsi="Arial"/>
                <w:sz w:val="16"/>
              </w:rPr>
              <w:t>for, or</w:t>
            </w:r>
            <w:proofErr w:type="gramEnd"/>
            <w:r w:rsidRPr="008860D1">
              <w:rPr>
                <w:rFonts w:ascii="Arial" w:hAnsi="Arial"/>
                <w:sz w:val="16"/>
              </w:rPr>
              <w:t xml:space="preserve"> attend community college or a four year educational institution.</w:t>
            </w:r>
          </w:p>
        </w:tc>
        <w:tc>
          <w:tcPr>
            <w:tcW w:w="2609" w:type="dxa"/>
          </w:tcPr>
          <w:p w14:paraId="2B237CC7" w14:textId="7A2CA05A"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718AAE74" w14:textId="77777777" w:rsidTr="008860D1">
        <w:trPr>
          <w:cantSplit/>
        </w:trPr>
        <w:tc>
          <w:tcPr>
            <w:tcW w:w="6720" w:type="dxa"/>
            <w:vAlign w:val="center"/>
          </w:tcPr>
          <w:p w14:paraId="22572DE7" w14:textId="77777777" w:rsidR="00345886" w:rsidRPr="008860D1" w:rsidRDefault="00345886" w:rsidP="00345886">
            <w:pPr>
              <w:spacing w:beforeAutospacing="1" w:afterAutospacing="1"/>
            </w:pPr>
            <w:r w:rsidRPr="008860D1">
              <w:rPr>
                <w:rFonts w:ascii="Arial" w:hAnsi="Arial"/>
                <w:sz w:val="16"/>
              </w:rPr>
              <w:t xml:space="preserve">Assisted residents to apply </w:t>
            </w:r>
            <w:proofErr w:type="gramStart"/>
            <w:r w:rsidRPr="008860D1">
              <w:rPr>
                <w:rFonts w:ascii="Arial" w:hAnsi="Arial"/>
                <w:sz w:val="16"/>
              </w:rPr>
              <w:t>for, or</w:t>
            </w:r>
            <w:proofErr w:type="gramEnd"/>
            <w:r w:rsidRPr="008860D1">
              <w:rPr>
                <w:rFonts w:ascii="Arial" w:hAnsi="Arial"/>
                <w:sz w:val="16"/>
              </w:rPr>
              <w:t xml:space="preserve"> attend vocational/technical training.</w:t>
            </w:r>
          </w:p>
        </w:tc>
        <w:tc>
          <w:tcPr>
            <w:tcW w:w="2609" w:type="dxa"/>
          </w:tcPr>
          <w:p w14:paraId="0588BB42" w14:textId="1EF03171"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73A590B4" w14:textId="77777777" w:rsidTr="008860D1">
        <w:trPr>
          <w:cantSplit/>
        </w:trPr>
        <w:tc>
          <w:tcPr>
            <w:tcW w:w="6720" w:type="dxa"/>
            <w:vAlign w:val="center"/>
          </w:tcPr>
          <w:p w14:paraId="70539EEF" w14:textId="77777777" w:rsidR="00345886" w:rsidRPr="008860D1" w:rsidRDefault="00345886" w:rsidP="00345886">
            <w:pPr>
              <w:spacing w:beforeAutospacing="1" w:afterAutospacing="1"/>
            </w:pPr>
            <w:r w:rsidRPr="008860D1">
              <w:rPr>
                <w:rFonts w:ascii="Arial" w:hAnsi="Arial"/>
                <w:sz w:val="16"/>
              </w:rPr>
              <w:t>Assisted residents to obtain financial literacy training and/or coaching.</w:t>
            </w:r>
          </w:p>
        </w:tc>
        <w:tc>
          <w:tcPr>
            <w:tcW w:w="2609" w:type="dxa"/>
          </w:tcPr>
          <w:p w14:paraId="53052E56" w14:textId="0C82D3E0"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6A947C96" w14:textId="77777777" w:rsidTr="008860D1">
        <w:trPr>
          <w:cantSplit/>
        </w:trPr>
        <w:tc>
          <w:tcPr>
            <w:tcW w:w="6720" w:type="dxa"/>
            <w:vAlign w:val="center"/>
          </w:tcPr>
          <w:p w14:paraId="31AD48EB" w14:textId="77777777" w:rsidR="00345886" w:rsidRPr="008860D1" w:rsidRDefault="00345886" w:rsidP="00345886">
            <w:pPr>
              <w:spacing w:beforeAutospacing="1" w:afterAutospacing="1"/>
            </w:pPr>
            <w:r w:rsidRPr="008860D1">
              <w:rPr>
                <w:rFonts w:ascii="Arial" w:hAnsi="Arial"/>
                <w:sz w:val="16"/>
              </w:rPr>
              <w:t>Bonding assistance, guaranties, or other efforts to support viable bids from Section 3 business concerns.</w:t>
            </w:r>
          </w:p>
        </w:tc>
        <w:tc>
          <w:tcPr>
            <w:tcW w:w="2609" w:type="dxa"/>
          </w:tcPr>
          <w:p w14:paraId="5FD33F34" w14:textId="31DFF5D9"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65F14B5E" w14:textId="77777777" w:rsidTr="008860D1">
        <w:trPr>
          <w:cantSplit/>
        </w:trPr>
        <w:tc>
          <w:tcPr>
            <w:tcW w:w="6720" w:type="dxa"/>
            <w:vAlign w:val="center"/>
          </w:tcPr>
          <w:p w14:paraId="5D7C6ABF" w14:textId="77777777" w:rsidR="00345886" w:rsidRPr="008860D1" w:rsidRDefault="00345886" w:rsidP="00345886">
            <w:pPr>
              <w:spacing w:beforeAutospacing="1" w:afterAutospacing="1"/>
            </w:pPr>
            <w:r w:rsidRPr="008860D1">
              <w:rPr>
                <w:rFonts w:ascii="Arial" w:hAnsi="Arial"/>
                <w:sz w:val="16"/>
              </w:rPr>
              <w:t>Provided or connected residents with training on computer use or online technologies.</w:t>
            </w:r>
          </w:p>
        </w:tc>
        <w:tc>
          <w:tcPr>
            <w:tcW w:w="2609" w:type="dxa"/>
          </w:tcPr>
          <w:p w14:paraId="0917FC94" w14:textId="7EE44278"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53A9D318" w14:textId="77777777" w:rsidTr="008860D1">
        <w:trPr>
          <w:cantSplit/>
        </w:trPr>
        <w:tc>
          <w:tcPr>
            <w:tcW w:w="6720" w:type="dxa"/>
            <w:vAlign w:val="center"/>
          </w:tcPr>
          <w:p w14:paraId="74E5501A" w14:textId="77777777" w:rsidR="00345886" w:rsidRPr="008860D1" w:rsidRDefault="00345886" w:rsidP="00345886">
            <w:pPr>
              <w:spacing w:beforeAutospacing="1" w:afterAutospacing="1"/>
            </w:pPr>
            <w:r w:rsidRPr="008860D1">
              <w:rPr>
                <w:rFonts w:ascii="Arial" w:hAnsi="Arial"/>
                <w:sz w:val="16"/>
              </w:rPr>
              <w:t>Promoting the use of a business registry designed to create opportunities for disadvantaged and small businesses.</w:t>
            </w:r>
          </w:p>
        </w:tc>
        <w:tc>
          <w:tcPr>
            <w:tcW w:w="2609" w:type="dxa"/>
          </w:tcPr>
          <w:p w14:paraId="1C3EF86C" w14:textId="709AFC22"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11FBADF2" w14:textId="77777777" w:rsidTr="008860D1">
        <w:trPr>
          <w:cantSplit/>
        </w:trPr>
        <w:tc>
          <w:tcPr>
            <w:tcW w:w="6720" w:type="dxa"/>
            <w:vAlign w:val="center"/>
          </w:tcPr>
          <w:p w14:paraId="35141510" w14:textId="77777777" w:rsidR="00345886" w:rsidRPr="008860D1" w:rsidRDefault="00345886" w:rsidP="00345886">
            <w:pPr>
              <w:spacing w:beforeAutospacing="1" w:afterAutospacing="1"/>
            </w:pPr>
            <w:r w:rsidRPr="008860D1">
              <w:rPr>
                <w:rFonts w:ascii="Arial" w:hAnsi="Arial"/>
                <w:sz w:val="16"/>
              </w:rPr>
              <w:t>Outreach, engagement, or referrals with the state one-stop system, as designed in Section 121(e)(2) of the Workforce Innovation and Opportunity Act.</w:t>
            </w:r>
          </w:p>
        </w:tc>
        <w:tc>
          <w:tcPr>
            <w:tcW w:w="2609" w:type="dxa"/>
          </w:tcPr>
          <w:p w14:paraId="5E78DC61" w14:textId="77296E20" w:rsidR="00345886" w:rsidRPr="008860D1" w:rsidRDefault="00345886" w:rsidP="00345886">
            <w:pPr>
              <w:spacing w:beforeAutospacing="1" w:afterAutospacing="1"/>
              <w:jc w:val="center"/>
            </w:pPr>
            <w:r w:rsidRPr="008860D1">
              <w:rPr>
                <w:rFonts w:ascii="Arial" w:hAnsi="Arial"/>
                <w:sz w:val="16"/>
              </w:rPr>
              <w:t>0</w:t>
            </w:r>
          </w:p>
        </w:tc>
      </w:tr>
      <w:tr w:rsidR="00163934" w:rsidRPr="008860D1" w14:paraId="024E21B4" w14:textId="77777777" w:rsidTr="008860D1">
        <w:trPr>
          <w:cantSplit/>
        </w:trPr>
        <w:tc>
          <w:tcPr>
            <w:tcW w:w="6720" w:type="dxa"/>
            <w:vAlign w:val="center"/>
          </w:tcPr>
          <w:p w14:paraId="7F4CDFD2" w14:textId="77777777" w:rsidR="00345886" w:rsidRPr="008860D1" w:rsidRDefault="00345886" w:rsidP="00345886">
            <w:pPr>
              <w:spacing w:beforeAutospacing="1" w:afterAutospacing="1"/>
            </w:pPr>
            <w:r w:rsidRPr="008860D1">
              <w:rPr>
                <w:rFonts w:ascii="Arial" w:hAnsi="Arial"/>
                <w:sz w:val="16"/>
              </w:rPr>
              <w:t>Other.</w:t>
            </w:r>
          </w:p>
        </w:tc>
        <w:tc>
          <w:tcPr>
            <w:tcW w:w="2609" w:type="dxa"/>
          </w:tcPr>
          <w:p w14:paraId="4333835C" w14:textId="49CDF301" w:rsidR="00345886" w:rsidRPr="008860D1" w:rsidRDefault="00345886" w:rsidP="00345886">
            <w:pPr>
              <w:spacing w:beforeAutospacing="1" w:afterAutospacing="1"/>
              <w:jc w:val="center"/>
            </w:pPr>
            <w:r w:rsidRPr="008860D1">
              <w:rPr>
                <w:rFonts w:ascii="Arial" w:hAnsi="Arial"/>
                <w:sz w:val="16"/>
              </w:rPr>
              <w:t>0</w:t>
            </w:r>
          </w:p>
        </w:tc>
      </w:tr>
    </w:tbl>
    <w:p w14:paraId="0A6FB1AA" w14:textId="77777777" w:rsidR="00BE059B" w:rsidRPr="008860D1" w:rsidRDefault="00FB5456">
      <w:pPr>
        <w:pStyle w:val="Caption"/>
        <w:jc w:val="center"/>
        <w:rPr>
          <w:rFonts w:asciiTheme="minorHAnsi" w:hAnsiTheme="minorHAnsi"/>
        </w:rPr>
      </w:pPr>
      <w:r w:rsidRPr="008860D1">
        <w:rPr>
          <w:rFonts w:asciiTheme="minorHAnsi" w:hAnsiTheme="minorHAnsi"/>
        </w:rPr>
        <w:t xml:space="preserve">Table </w:t>
      </w:r>
      <w:r w:rsidRPr="008860D1">
        <w:rPr>
          <w:rFonts w:asciiTheme="minorHAnsi" w:hAnsiTheme="minorHAnsi"/>
        </w:rPr>
        <w:fldChar w:fldCharType="begin"/>
      </w:r>
      <w:r w:rsidRPr="008860D1">
        <w:rPr>
          <w:rFonts w:asciiTheme="minorHAnsi" w:hAnsiTheme="minorHAnsi"/>
        </w:rPr>
        <w:instrText xml:space="preserve"> SEQ Table \* ARABIC </w:instrText>
      </w:r>
      <w:r w:rsidRPr="008860D1">
        <w:rPr>
          <w:rFonts w:asciiTheme="minorHAnsi" w:hAnsiTheme="minorHAnsi"/>
        </w:rPr>
        <w:fldChar w:fldCharType="separate"/>
      </w:r>
      <w:r w:rsidRPr="008860D1">
        <w:rPr>
          <w:rFonts w:asciiTheme="minorHAnsi" w:hAnsiTheme="minorHAnsi"/>
        </w:rPr>
        <w:t>16</w:t>
      </w:r>
      <w:r w:rsidRPr="008860D1">
        <w:rPr>
          <w:rFonts w:asciiTheme="minorHAnsi" w:hAnsiTheme="minorHAnsi"/>
        </w:rPr>
        <w:fldChar w:fldCharType="end"/>
      </w:r>
      <w:r w:rsidRPr="008860D1">
        <w:rPr>
          <w:rFonts w:asciiTheme="minorHAnsi" w:hAnsiTheme="minorHAnsi"/>
        </w:rPr>
        <w:t xml:space="preserve"> – Qualitative Efforts - Number of Activities by Program</w:t>
      </w:r>
    </w:p>
    <w:p w14:paraId="79FF6DDF" w14:textId="77777777" w:rsidR="00BE059B" w:rsidRPr="00767897" w:rsidRDefault="00BE059B">
      <w:pPr>
        <w:widowControl w:val="0"/>
        <w:rPr>
          <w:b/>
          <w:sz w:val="24"/>
          <w:szCs w:val="24"/>
          <w:highlight w:val="yellow"/>
        </w:rPr>
      </w:pPr>
    </w:p>
    <w:p w14:paraId="5726EDCD" w14:textId="19A2E288" w:rsidR="00BE059B" w:rsidRPr="008860D1" w:rsidRDefault="00FB5456">
      <w:pPr>
        <w:widowControl w:val="0"/>
        <w:rPr>
          <w:b/>
          <w:sz w:val="24"/>
          <w:szCs w:val="24"/>
        </w:rPr>
      </w:pPr>
      <w:r w:rsidRPr="008860D1">
        <w:rPr>
          <w:b/>
          <w:sz w:val="24"/>
          <w:szCs w:val="24"/>
        </w:rPr>
        <w:t>Narrative</w:t>
      </w:r>
    </w:p>
    <w:p w14:paraId="18D94942" w14:textId="264F5ABA" w:rsidR="000D527C" w:rsidRPr="000D527C" w:rsidRDefault="000D527C">
      <w:pPr>
        <w:widowControl w:val="0"/>
        <w:rPr>
          <w:bCs/>
          <w:sz w:val="24"/>
          <w:szCs w:val="24"/>
        </w:rPr>
      </w:pPr>
      <w:r w:rsidRPr="008860D1">
        <w:rPr>
          <w:bCs/>
          <w:sz w:val="24"/>
          <w:szCs w:val="24"/>
        </w:rPr>
        <w:t>The City did not have active Section 3</w:t>
      </w:r>
      <w:r w:rsidR="008860D1" w:rsidRPr="008860D1">
        <w:rPr>
          <w:bCs/>
          <w:sz w:val="24"/>
          <w:szCs w:val="24"/>
        </w:rPr>
        <w:t xml:space="preserve"> activities to report on at the end of the 2023-2024</w:t>
      </w:r>
      <w:r w:rsidRPr="008860D1">
        <w:rPr>
          <w:bCs/>
          <w:sz w:val="24"/>
          <w:szCs w:val="24"/>
        </w:rPr>
        <w:t xml:space="preserve"> Program Year.</w:t>
      </w:r>
    </w:p>
    <w:p w14:paraId="0B7DAE76" w14:textId="77777777" w:rsidR="00BE059B" w:rsidRPr="009941CE" w:rsidRDefault="00BE059B"/>
    <w:sectPr w:rsidR="00BE059B" w:rsidRPr="009941CE" w:rsidSect="00A23B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733E" w14:textId="77777777" w:rsidR="00B5734D" w:rsidRDefault="00B5734D">
      <w:r>
        <w:separator/>
      </w:r>
    </w:p>
  </w:endnote>
  <w:endnote w:type="continuationSeparator" w:id="0">
    <w:p w14:paraId="441F5E89" w14:textId="77777777" w:rsidR="00B5734D" w:rsidRDefault="00B5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3140" w14:textId="77777777" w:rsidR="003E1014" w:rsidRDefault="003E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BE059B" w14:paraId="3019EAF3" w14:textId="77777777">
      <w:trPr>
        <w:jc w:val="center"/>
      </w:trPr>
      <w:tc>
        <w:tcPr>
          <w:tcW w:w="828" w:type="dxa"/>
        </w:tcPr>
        <w:p w14:paraId="029E539B" w14:textId="77777777" w:rsidR="00BE059B" w:rsidRDefault="00BE059B">
          <w:pPr>
            <w:pStyle w:val="Footer"/>
            <w:spacing w:after="0" w:line="240" w:lineRule="auto"/>
            <w:jc w:val="center"/>
          </w:pPr>
        </w:p>
      </w:tc>
      <w:tc>
        <w:tcPr>
          <w:tcW w:w="7976" w:type="dxa"/>
        </w:tcPr>
        <w:p w14:paraId="0EFA1F94" w14:textId="77777777" w:rsidR="00BE059B" w:rsidRDefault="00FB5456">
          <w:pPr>
            <w:pStyle w:val="Footer"/>
            <w:spacing w:after="0" w:line="240" w:lineRule="auto"/>
            <w:jc w:val="center"/>
          </w:pPr>
          <w:r>
            <w:t>CAPER</w:t>
          </w:r>
        </w:p>
      </w:tc>
      <w:tc>
        <w:tcPr>
          <w:tcW w:w="772" w:type="dxa"/>
        </w:tcPr>
        <w:p w14:paraId="2C9A2213" w14:textId="77777777" w:rsidR="00BE059B" w:rsidRDefault="00FB5456">
          <w:pPr>
            <w:pStyle w:val="Footer"/>
            <w:spacing w:after="0" w:line="240" w:lineRule="auto"/>
            <w:jc w:val="right"/>
          </w:pPr>
          <w:r>
            <w:fldChar w:fldCharType="begin"/>
          </w:r>
          <w:r>
            <w:instrText>page</w:instrText>
          </w:r>
          <w:r>
            <w:fldChar w:fldCharType="separate"/>
          </w:r>
          <w:r>
            <w:t>30</w:t>
          </w:r>
          <w:r>
            <w:fldChar w:fldCharType="end"/>
          </w:r>
        </w:p>
      </w:tc>
    </w:tr>
  </w:tbl>
  <w:p w14:paraId="6D574105" w14:textId="77777777" w:rsidR="00BE059B" w:rsidRDefault="00FB5456">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9B0" w14:textId="77777777" w:rsidR="003E1014" w:rsidRDefault="003E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9053" w14:textId="77777777" w:rsidR="00B5734D" w:rsidRDefault="00B5734D">
      <w:r>
        <w:separator/>
      </w:r>
    </w:p>
  </w:footnote>
  <w:footnote w:type="continuationSeparator" w:id="0">
    <w:p w14:paraId="0CCBF354" w14:textId="77777777" w:rsidR="00B5734D" w:rsidRDefault="00B5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E760" w14:textId="77777777" w:rsidR="003E1014" w:rsidRDefault="003E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844339"/>
      <w:docPartObj>
        <w:docPartGallery w:val="Watermarks"/>
        <w:docPartUnique/>
      </w:docPartObj>
    </w:sdtPr>
    <w:sdtEndPr/>
    <w:sdtContent>
      <w:p w14:paraId="1637EED8" w14:textId="15DB7C26" w:rsidR="003E1014" w:rsidRDefault="00B110FE">
        <w:pPr>
          <w:pStyle w:val="Header"/>
        </w:pPr>
        <w:r>
          <w:rPr>
            <w:noProof/>
          </w:rPr>
          <w:pict w14:anchorId="2C87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9D9D" w14:textId="77777777" w:rsidR="003E1014" w:rsidRDefault="003E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6CD6D35"/>
    <w:multiLevelType w:val="hybridMultilevel"/>
    <w:tmpl w:val="7D08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8148E"/>
    <w:multiLevelType w:val="hybridMultilevel"/>
    <w:tmpl w:val="9AA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A1F225D"/>
    <w:multiLevelType w:val="hybridMultilevel"/>
    <w:tmpl w:val="B9987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41BDE"/>
    <w:multiLevelType w:val="hybridMultilevel"/>
    <w:tmpl w:val="79A8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07658"/>
    <w:multiLevelType w:val="hybridMultilevel"/>
    <w:tmpl w:val="A7948CFA"/>
    <w:lvl w:ilvl="0" w:tplc="5580610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1285384"/>
    <w:multiLevelType w:val="hybridMultilevel"/>
    <w:tmpl w:val="4A14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9573764">
    <w:abstractNumId w:val="11"/>
  </w:num>
  <w:num w:numId="2" w16cid:durableId="356276159">
    <w:abstractNumId w:val="9"/>
  </w:num>
  <w:num w:numId="3" w16cid:durableId="1610240476">
    <w:abstractNumId w:val="7"/>
  </w:num>
  <w:num w:numId="4" w16cid:durableId="1090781212">
    <w:abstractNumId w:val="6"/>
  </w:num>
  <w:num w:numId="5" w16cid:durableId="624580170">
    <w:abstractNumId w:val="5"/>
  </w:num>
  <w:num w:numId="6" w16cid:durableId="928539449">
    <w:abstractNumId w:val="4"/>
  </w:num>
  <w:num w:numId="7" w16cid:durableId="1313095515">
    <w:abstractNumId w:val="8"/>
  </w:num>
  <w:num w:numId="8" w16cid:durableId="28997434">
    <w:abstractNumId w:val="3"/>
  </w:num>
  <w:num w:numId="9" w16cid:durableId="568005546">
    <w:abstractNumId w:val="2"/>
  </w:num>
  <w:num w:numId="10" w16cid:durableId="247690099">
    <w:abstractNumId w:val="1"/>
  </w:num>
  <w:num w:numId="11" w16cid:durableId="1869030212">
    <w:abstractNumId w:val="0"/>
  </w:num>
  <w:num w:numId="12" w16cid:durableId="440106903">
    <w:abstractNumId w:val="10"/>
  </w:num>
  <w:num w:numId="13" w16cid:durableId="253393353">
    <w:abstractNumId w:val="21"/>
  </w:num>
  <w:num w:numId="14" w16cid:durableId="200750620">
    <w:abstractNumId w:val="15"/>
  </w:num>
  <w:num w:numId="15" w16cid:durableId="182591425">
    <w:abstractNumId w:val="14"/>
  </w:num>
  <w:num w:numId="16" w16cid:durableId="1619725784">
    <w:abstractNumId w:val="19"/>
  </w:num>
  <w:num w:numId="17" w16cid:durableId="1091269368">
    <w:abstractNumId w:val="16"/>
  </w:num>
  <w:num w:numId="18" w16cid:durableId="150602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8493271">
    <w:abstractNumId w:val="20"/>
  </w:num>
  <w:num w:numId="20" w16cid:durableId="1729038802">
    <w:abstractNumId w:val="13"/>
  </w:num>
  <w:num w:numId="21" w16cid:durableId="1682396184">
    <w:abstractNumId w:val="17"/>
  </w:num>
  <w:num w:numId="22" w16cid:durableId="764302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3C6"/>
    <w:rsid w:val="000035A3"/>
    <w:rsid w:val="00003E3A"/>
    <w:rsid w:val="00004F01"/>
    <w:rsid w:val="00005349"/>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0F5B"/>
    <w:rsid w:val="00022CF5"/>
    <w:rsid w:val="000237FC"/>
    <w:rsid w:val="000250A9"/>
    <w:rsid w:val="00025578"/>
    <w:rsid w:val="0002592E"/>
    <w:rsid w:val="00025951"/>
    <w:rsid w:val="00025DEC"/>
    <w:rsid w:val="00026149"/>
    <w:rsid w:val="00026C60"/>
    <w:rsid w:val="00026D2E"/>
    <w:rsid w:val="00027899"/>
    <w:rsid w:val="00027FD4"/>
    <w:rsid w:val="00030C85"/>
    <w:rsid w:val="00031960"/>
    <w:rsid w:val="00032B34"/>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134"/>
    <w:rsid w:val="00052543"/>
    <w:rsid w:val="0005399B"/>
    <w:rsid w:val="00053D85"/>
    <w:rsid w:val="00053E62"/>
    <w:rsid w:val="00054780"/>
    <w:rsid w:val="000549C7"/>
    <w:rsid w:val="00054D96"/>
    <w:rsid w:val="00056828"/>
    <w:rsid w:val="00057E29"/>
    <w:rsid w:val="00060108"/>
    <w:rsid w:val="00060568"/>
    <w:rsid w:val="00060CE4"/>
    <w:rsid w:val="00061845"/>
    <w:rsid w:val="00061B37"/>
    <w:rsid w:val="00061E41"/>
    <w:rsid w:val="00061F0F"/>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4EA4"/>
    <w:rsid w:val="0007533E"/>
    <w:rsid w:val="00075AB2"/>
    <w:rsid w:val="0007671E"/>
    <w:rsid w:val="000768C5"/>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734"/>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B69"/>
    <w:rsid w:val="000B3DD8"/>
    <w:rsid w:val="000B45BD"/>
    <w:rsid w:val="000B5D24"/>
    <w:rsid w:val="000B6036"/>
    <w:rsid w:val="000B6192"/>
    <w:rsid w:val="000B6842"/>
    <w:rsid w:val="000B7A3C"/>
    <w:rsid w:val="000C0752"/>
    <w:rsid w:val="000C0905"/>
    <w:rsid w:val="000C0B16"/>
    <w:rsid w:val="000C18CE"/>
    <w:rsid w:val="000C20FC"/>
    <w:rsid w:val="000C23F6"/>
    <w:rsid w:val="000C265E"/>
    <w:rsid w:val="000C2D74"/>
    <w:rsid w:val="000C3ACA"/>
    <w:rsid w:val="000C51C1"/>
    <w:rsid w:val="000C5AF9"/>
    <w:rsid w:val="000C666E"/>
    <w:rsid w:val="000C7403"/>
    <w:rsid w:val="000C74F3"/>
    <w:rsid w:val="000C7AF1"/>
    <w:rsid w:val="000D01E0"/>
    <w:rsid w:val="000D14F6"/>
    <w:rsid w:val="000D1DC9"/>
    <w:rsid w:val="000D40F2"/>
    <w:rsid w:val="000D422A"/>
    <w:rsid w:val="000D488E"/>
    <w:rsid w:val="000D4F16"/>
    <w:rsid w:val="000D4F4B"/>
    <w:rsid w:val="000D527C"/>
    <w:rsid w:val="000D6A4D"/>
    <w:rsid w:val="000D6CFF"/>
    <w:rsid w:val="000D71A6"/>
    <w:rsid w:val="000D7D16"/>
    <w:rsid w:val="000E0343"/>
    <w:rsid w:val="000E0AAE"/>
    <w:rsid w:val="000E0D5D"/>
    <w:rsid w:val="000E10B6"/>
    <w:rsid w:val="000E13BA"/>
    <w:rsid w:val="000E1DFB"/>
    <w:rsid w:val="000E1F9B"/>
    <w:rsid w:val="000E2A69"/>
    <w:rsid w:val="000E2C4D"/>
    <w:rsid w:val="000E4A11"/>
    <w:rsid w:val="000E5032"/>
    <w:rsid w:val="000E53D6"/>
    <w:rsid w:val="000E5FBD"/>
    <w:rsid w:val="000E60F9"/>
    <w:rsid w:val="000E6121"/>
    <w:rsid w:val="000E640E"/>
    <w:rsid w:val="000E6555"/>
    <w:rsid w:val="000E6B9A"/>
    <w:rsid w:val="000E6CB6"/>
    <w:rsid w:val="000F04AF"/>
    <w:rsid w:val="000F0F15"/>
    <w:rsid w:val="000F1426"/>
    <w:rsid w:val="000F21DE"/>
    <w:rsid w:val="000F503D"/>
    <w:rsid w:val="000F683C"/>
    <w:rsid w:val="000F6B53"/>
    <w:rsid w:val="001000D7"/>
    <w:rsid w:val="001019C3"/>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68F5"/>
    <w:rsid w:val="00117AB9"/>
    <w:rsid w:val="00117CAF"/>
    <w:rsid w:val="00120904"/>
    <w:rsid w:val="00123B67"/>
    <w:rsid w:val="001244C5"/>
    <w:rsid w:val="00124E85"/>
    <w:rsid w:val="00125428"/>
    <w:rsid w:val="001256B0"/>
    <w:rsid w:val="00125FCA"/>
    <w:rsid w:val="00126022"/>
    <w:rsid w:val="001261A0"/>
    <w:rsid w:val="001274C4"/>
    <w:rsid w:val="00131883"/>
    <w:rsid w:val="00132B0C"/>
    <w:rsid w:val="00132CEA"/>
    <w:rsid w:val="00133EA4"/>
    <w:rsid w:val="00134B79"/>
    <w:rsid w:val="0013545A"/>
    <w:rsid w:val="00135B76"/>
    <w:rsid w:val="00135EA7"/>
    <w:rsid w:val="00136724"/>
    <w:rsid w:val="00137DF0"/>
    <w:rsid w:val="00141F8B"/>
    <w:rsid w:val="001426D3"/>
    <w:rsid w:val="00143C87"/>
    <w:rsid w:val="001442FB"/>
    <w:rsid w:val="001452F7"/>
    <w:rsid w:val="0014572F"/>
    <w:rsid w:val="001460FB"/>
    <w:rsid w:val="0014790F"/>
    <w:rsid w:val="0015000D"/>
    <w:rsid w:val="00150082"/>
    <w:rsid w:val="001501DB"/>
    <w:rsid w:val="00150A50"/>
    <w:rsid w:val="00150B00"/>
    <w:rsid w:val="00150CA7"/>
    <w:rsid w:val="00151FDE"/>
    <w:rsid w:val="001539D4"/>
    <w:rsid w:val="00153ED6"/>
    <w:rsid w:val="00155048"/>
    <w:rsid w:val="0015548F"/>
    <w:rsid w:val="00156045"/>
    <w:rsid w:val="00156205"/>
    <w:rsid w:val="00157867"/>
    <w:rsid w:val="00157D8A"/>
    <w:rsid w:val="00157DD0"/>
    <w:rsid w:val="0016089C"/>
    <w:rsid w:val="00160AC1"/>
    <w:rsid w:val="001616F5"/>
    <w:rsid w:val="00162077"/>
    <w:rsid w:val="0016267E"/>
    <w:rsid w:val="00162A99"/>
    <w:rsid w:val="00163934"/>
    <w:rsid w:val="00163BA8"/>
    <w:rsid w:val="00164969"/>
    <w:rsid w:val="001657BA"/>
    <w:rsid w:val="00165A79"/>
    <w:rsid w:val="00165B3F"/>
    <w:rsid w:val="00166377"/>
    <w:rsid w:val="00166FC2"/>
    <w:rsid w:val="00167346"/>
    <w:rsid w:val="001703C2"/>
    <w:rsid w:val="0017063C"/>
    <w:rsid w:val="00172204"/>
    <w:rsid w:val="001728FD"/>
    <w:rsid w:val="00172A41"/>
    <w:rsid w:val="00172D3C"/>
    <w:rsid w:val="00173660"/>
    <w:rsid w:val="00173756"/>
    <w:rsid w:val="0017391B"/>
    <w:rsid w:val="00173954"/>
    <w:rsid w:val="001748A8"/>
    <w:rsid w:val="00174E22"/>
    <w:rsid w:val="00174EC5"/>
    <w:rsid w:val="00174F62"/>
    <w:rsid w:val="00175A92"/>
    <w:rsid w:val="00176F2C"/>
    <w:rsid w:val="0017730C"/>
    <w:rsid w:val="00177DEF"/>
    <w:rsid w:val="00180218"/>
    <w:rsid w:val="00180753"/>
    <w:rsid w:val="00181247"/>
    <w:rsid w:val="00181253"/>
    <w:rsid w:val="0018186B"/>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0C81"/>
    <w:rsid w:val="00192527"/>
    <w:rsid w:val="001929DC"/>
    <w:rsid w:val="00192E4D"/>
    <w:rsid w:val="00193695"/>
    <w:rsid w:val="00193AF0"/>
    <w:rsid w:val="0019437E"/>
    <w:rsid w:val="001949B1"/>
    <w:rsid w:val="00194CDA"/>
    <w:rsid w:val="00194DE6"/>
    <w:rsid w:val="001964F3"/>
    <w:rsid w:val="00197A7A"/>
    <w:rsid w:val="001A0074"/>
    <w:rsid w:val="001A0F7B"/>
    <w:rsid w:val="001A1131"/>
    <w:rsid w:val="001A226D"/>
    <w:rsid w:val="001A2F51"/>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114"/>
    <w:rsid w:val="001D4366"/>
    <w:rsid w:val="001D5457"/>
    <w:rsid w:val="001D5812"/>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EDE"/>
    <w:rsid w:val="001F2FC4"/>
    <w:rsid w:val="001F3C7D"/>
    <w:rsid w:val="001F3CB4"/>
    <w:rsid w:val="001F68DE"/>
    <w:rsid w:val="001F753C"/>
    <w:rsid w:val="002028BF"/>
    <w:rsid w:val="00202D59"/>
    <w:rsid w:val="00203C89"/>
    <w:rsid w:val="00204041"/>
    <w:rsid w:val="00204CFE"/>
    <w:rsid w:val="00204E13"/>
    <w:rsid w:val="00205644"/>
    <w:rsid w:val="00205A80"/>
    <w:rsid w:val="00205CCE"/>
    <w:rsid w:val="00207317"/>
    <w:rsid w:val="00207A05"/>
    <w:rsid w:val="00210BE4"/>
    <w:rsid w:val="002111DD"/>
    <w:rsid w:val="002116BD"/>
    <w:rsid w:val="00212E96"/>
    <w:rsid w:val="002137A1"/>
    <w:rsid w:val="00214170"/>
    <w:rsid w:val="002150FE"/>
    <w:rsid w:val="00215252"/>
    <w:rsid w:val="00215FFC"/>
    <w:rsid w:val="00216569"/>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2E1E"/>
    <w:rsid w:val="0023315D"/>
    <w:rsid w:val="00233524"/>
    <w:rsid w:val="00233736"/>
    <w:rsid w:val="00233956"/>
    <w:rsid w:val="002344CC"/>
    <w:rsid w:val="002346CD"/>
    <w:rsid w:val="00236F35"/>
    <w:rsid w:val="00236F9D"/>
    <w:rsid w:val="002375B4"/>
    <w:rsid w:val="00240369"/>
    <w:rsid w:val="00240AEF"/>
    <w:rsid w:val="0024397D"/>
    <w:rsid w:val="00243BB2"/>
    <w:rsid w:val="0024409B"/>
    <w:rsid w:val="00244529"/>
    <w:rsid w:val="00244EDB"/>
    <w:rsid w:val="0024534C"/>
    <w:rsid w:val="00247A41"/>
    <w:rsid w:val="00247E65"/>
    <w:rsid w:val="0025080C"/>
    <w:rsid w:val="00251DDB"/>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498C"/>
    <w:rsid w:val="002660BC"/>
    <w:rsid w:val="00267042"/>
    <w:rsid w:val="00267FE2"/>
    <w:rsid w:val="0027020F"/>
    <w:rsid w:val="002707F7"/>
    <w:rsid w:val="00270B46"/>
    <w:rsid w:val="00270E66"/>
    <w:rsid w:val="002721FA"/>
    <w:rsid w:val="00272758"/>
    <w:rsid w:val="00272E1D"/>
    <w:rsid w:val="00273DD5"/>
    <w:rsid w:val="00274B86"/>
    <w:rsid w:val="00275F5E"/>
    <w:rsid w:val="00276096"/>
    <w:rsid w:val="002764CB"/>
    <w:rsid w:val="0027673E"/>
    <w:rsid w:val="00277A52"/>
    <w:rsid w:val="00277D0B"/>
    <w:rsid w:val="00277FF0"/>
    <w:rsid w:val="0028052A"/>
    <w:rsid w:val="002805C4"/>
    <w:rsid w:val="00283CA8"/>
    <w:rsid w:val="0028459B"/>
    <w:rsid w:val="002845D3"/>
    <w:rsid w:val="00284AD9"/>
    <w:rsid w:val="00284E5C"/>
    <w:rsid w:val="00285752"/>
    <w:rsid w:val="0028764C"/>
    <w:rsid w:val="0028792C"/>
    <w:rsid w:val="002879F1"/>
    <w:rsid w:val="002905D8"/>
    <w:rsid w:val="00290DB9"/>
    <w:rsid w:val="00291155"/>
    <w:rsid w:val="00291F7B"/>
    <w:rsid w:val="00292ECE"/>
    <w:rsid w:val="002940C6"/>
    <w:rsid w:val="00294B1B"/>
    <w:rsid w:val="00294CA9"/>
    <w:rsid w:val="00295998"/>
    <w:rsid w:val="002969C3"/>
    <w:rsid w:val="00297030"/>
    <w:rsid w:val="002A0451"/>
    <w:rsid w:val="002A1320"/>
    <w:rsid w:val="002A19C0"/>
    <w:rsid w:val="002A2068"/>
    <w:rsid w:val="002A206F"/>
    <w:rsid w:val="002A2980"/>
    <w:rsid w:val="002A33F3"/>
    <w:rsid w:val="002A38E1"/>
    <w:rsid w:val="002A4896"/>
    <w:rsid w:val="002A49B8"/>
    <w:rsid w:val="002A4D9A"/>
    <w:rsid w:val="002A4E8C"/>
    <w:rsid w:val="002A5179"/>
    <w:rsid w:val="002A57D8"/>
    <w:rsid w:val="002A5D07"/>
    <w:rsid w:val="002A7146"/>
    <w:rsid w:val="002A79F8"/>
    <w:rsid w:val="002B04A9"/>
    <w:rsid w:val="002B260A"/>
    <w:rsid w:val="002B57CF"/>
    <w:rsid w:val="002B67A3"/>
    <w:rsid w:val="002C12CE"/>
    <w:rsid w:val="002C155C"/>
    <w:rsid w:val="002C2304"/>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6C86"/>
    <w:rsid w:val="002D71DF"/>
    <w:rsid w:val="002D72DF"/>
    <w:rsid w:val="002E03CE"/>
    <w:rsid w:val="002E04EA"/>
    <w:rsid w:val="002E0765"/>
    <w:rsid w:val="002E0CED"/>
    <w:rsid w:val="002E2948"/>
    <w:rsid w:val="002E373E"/>
    <w:rsid w:val="002E453B"/>
    <w:rsid w:val="002E46E6"/>
    <w:rsid w:val="002E4FA0"/>
    <w:rsid w:val="002E5E11"/>
    <w:rsid w:val="002E7287"/>
    <w:rsid w:val="002F00E3"/>
    <w:rsid w:val="002F0A95"/>
    <w:rsid w:val="002F0C5C"/>
    <w:rsid w:val="002F13AD"/>
    <w:rsid w:val="002F1FFB"/>
    <w:rsid w:val="002F2A9F"/>
    <w:rsid w:val="002F2C74"/>
    <w:rsid w:val="002F3D37"/>
    <w:rsid w:val="002F3E66"/>
    <w:rsid w:val="002F4183"/>
    <w:rsid w:val="002F475D"/>
    <w:rsid w:val="002F5272"/>
    <w:rsid w:val="002F6017"/>
    <w:rsid w:val="002F664F"/>
    <w:rsid w:val="002F7A63"/>
    <w:rsid w:val="003003C0"/>
    <w:rsid w:val="0030068B"/>
    <w:rsid w:val="00300855"/>
    <w:rsid w:val="00301F81"/>
    <w:rsid w:val="00302737"/>
    <w:rsid w:val="00302A61"/>
    <w:rsid w:val="00303BE5"/>
    <w:rsid w:val="003045D1"/>
    <w:rsid w:val="003045F6"/>
    <w:rsid w:val="00304D73"/>
    <w:rsid w:val="00305182"/>
    <w:rsid w:val="003056D6"/>
    <w:rsid w:val="0030598B"/>
    <w:rsid w:val="0030672D"/>
    <w:rsid w:val="00306E0A"/>
    <w:rsid w:val="00306F39"/>
    <w:rsid w:val="00307904"/>
    <w:rsid w:val="00307CCF"/>
    <w:rsid w:val="00311270"/>
    <w:rsid w:val="003113E0"/>
    <w:rsid w:val="003118D7"/>
    <w:rsid w:val="0031248F"/>
    <w:rsid w:val="00312634"/>
    <w:rsid w:val="00312833"/>
    <w:rsid w:val="00312C1B"/>
    <w:rsid w:val="003138AA"/>
    <w:rsid w:val="00313917"/>
    <w:rsid w:val="00314B0B"/>
    <w:rsid w:val="003156F5"/>
    <w:rsid w:val="00316098"/>
    <w:rsid w:val="00316631"/>
    <w:rsid w:val="00316EE5"/>
    <w:rsid w:val="00320E49"/>
    <w:rsid w:val="003213ED"/>
    <w:rsid w:val="003214A9"/>
    <w:rsid w:val="00321A46"/>
    <w:rsid w:val="00322F17"/>
    <w:rsid w:val="0032477D"/>
    <w:rsid w:val="003257E9"/>
    <w:rsid w:val="003262D2"/>
    <w:rsid w:val="00327329"/>
    <w:rsid w:val="00327477"/>
    <w:rsid w:val="00327499"/>
    <w:rsid w:val="00327981"/>
    <w:rsid w:val="00327DDD"/>
    <w:rsid w:val="0033058A"/>
    <w:rsid w:val="0033064E"/>
    <w:rsid w:val="00330AC7"/>
    <w:rsid w:val="00331149"/>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1C48"/>
    <w:rsid w:val="00342143"/>
    <w:rsid w:val="00342F57"/>
    <w:rsid w:val="00343DFD"/>
    <w:rsid w:val="0034477A"/>
    <w:rsid w:val="00344D4F"/>
    <w:rsid w:val="00345886"/>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6625"/>
    <w:rsid w:val="0035726E"/>
    <w:rsid w:val="00357C5C"/>
    <w:rsid w:val="00361CC3"/>
    <w:rsid w:val="00362941"/>
    <w:rsid w:val="00362ACB"/>
    <w:rsid w:val="00362BC6"/>
    <w:rsid w:val="00362BEC"/>
    <w:rsid w:val="003636A4"/>
    <w:rsid w:val="00365368"/>
    <w:rsid w:val="00365CE8"/>
    <w:rsid w:val="00367870"/>
    <w:rsid w:val="00370741"/>
    <w:rsid w:val="0037146A"/>
    <w:rsid w:val="0037176A"/>
    <w:rsid w:val="00371907"/>
    <w:rsid w:val="00371FA6"/>
    <w:rsid w:val="003722BA"/>
    <w:rsid w:val="003731A2"/>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92F"/>
    <w:rsid w:val="003A3BED"/>
    <w:rsid w:val="003A3DFE"/>
    <w:rsid w:val="003A415B"/>
    <w:rsid w:val="003A4A22"/>
    <w:rsid w:val="003A4B51"/>
    <w:rsid w:val="003A5721"/>
    <w:rsid w:val="003A5AF1"/>
    <w:rsid w:val="003A5B2A"/>
    <w:rsid w:val="003A683D"/>
    <w:rsid w:val="003B2C69"/>
    <w:rsid w:val="003B2D3A"/>
    <w:rsid w:val="003B441D"/>
    <w:rsid w:val="003B47FF"/>
    <w:rsid w:val="003B4F86"/>
    <w:rsid w:val="003B5B43"/>
    <w:rsid w:val="003B60D4"/>
    <w:rsid w:val="003B66A4"/>
    <w:rsid w:val="003B7620"/>
    <w:rsid w:val="003B7C61"/>
    <w:rsid w:val="003C0A70"/>
    <w:rsid w:val="003C0F81"/>
    <w:rsid w:val="003C0FDC"/>
    <w:rsid w:val="003C1628"/>
    <w:rsid w:val="003C2B1B"/>
    <w:rsid w:val="003C435D"/>
    <w:rsid w:val="003C43EF"/>
    <w:rsid w:val="003C4495"/>
    <w:rsid w:val="003C464D"/>
    <w:rsid w:val="003C4B53"/>
    <w:rsid w:val="003C4FF3"/>
    <w:rsid w:val="003D0406"/>
    <w:rsid w:val="003D20C4"/>
    <w:rsid w:val="003D2E4C"/>
    <w:rsid w:val="003D3487"/>
    <w:rsid w:val="003D4133"/>
    <w:rsid w:val="003D4CC4"/>
    <w:rsid w:val="003D4D5B"/>
    <w:rsid w:val="003D4F68"/>
    <w:rsid w:val="003D670F"/>
    <w:rsid w:val="003D68A3"/>
    <w:rsid w:val="003D72A1"/>
    <w:rsid w:val="003D76CD"/>
    <w:rsid w:val="003D7A9E"/>
    <w:rsid w:val="003E0F35"/>
    <w:rsid w:val="003E1014"/>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2C1"/>
    <w:rsid w:val="003F6FC9"/>
    <w:rsid w:val="004000E2"/>
    <w:rsid w:val="00400274"/>
    <w:rsid w:val="00400B9A"/>
    <w:rsid w:val="004027AD"/>
    <w:rsid w:val="00402DB8"/>
    <w:rsid w:val="00403758"/>
    <w:rsid w:val="00403D51"/>
    <w:rsid w:val="00404530"/>
    <w:rsid w:val="00404C37"/>
    <w:rsid w:val="004058BD"/>
    <w:rsid w:val="0040597B"/>
    <w:rsid w:val="0040778D"/>
    <w:rsid w:val="00410A65"/>
    <w:rsid w:val="00411A47"/>
    <w:rsid w:val="00413518"/>
    <w:rsid w:val="0041369A"/>
    <w:rsid w:val="0041480C"/>
    <w:rsid w:val="00415254"/>
    <w:rsid w:val="0041625C"/>
    <w:rsid w:val="00416FB6"/>
    <w:rsid w:val="004170C2"/>
    <w:rsid w:val="00417339"/>
    <w:rsid w:val="0041739E"/>
    <w:rsid w:val="0041783B"/>
    <w:rsid w:val="0041787B"/>
    <w:rsid w:val="004223A6"/>
    <w:rsid w:val="0042286B"/>
    <w:rsid w:val="00424A45"/>
    <w:rsid w:val="004259F8"/>
    <w:rsid w:val="00427BEE"/>
    <w:rsid w:val="00432133"/>
    <w:rsid w:val="0043271A"/>
    <w:rsid w:val="00432796"/>
    <w:rsid w:val="00432EB4"/>
    <w:rsid w:val="00432F29"/>
    <w:rsid w:val="00434057"/>
    <w:rsid w:val="004349D6"/>
    <w:rsid w:val="00435096"/>
    <w:rsid w:val="00435179"/>
    <w:rsid w:val="00435A3B"/>
    <w:rsid w:val="00437EC9"/>
    <w:rsid w:val="00440347"/>
    <w:rsid w:val="0044241B"/>
    <w:rsid w:val="0044261D"/>
    <w:rsid w:val="00443A29"/>
    <w:rsid w:val="00443EE4"/>
    <w:rsid w:val="00444190"/>
    <w:rsid w:val="00444616"/>
    <w:rsid w:val="0044477A"/>
    <w:rsid w:val="004448CA"/>
    <w:rsid w:val="00444DEB"/>
    <w:rsid w:val="004468BC"/>
    <w:rsid w:val="00447517"/>
    <w:rsid w:val="00450760"/>
    <w:rsid w:val="00450CAB"/>
    <w:rsid w:val="00450FE7"/>
    <w:rsid w:val="00451AA9"/>
    <w:rsid w:val="00451C8B"/>
    <w:rsid w:val="00452EC7"/>
    <w:rsid w:val="00453175"/>
    <w:rsid w:val="00453780"/>
    <w:rsid w:val="0045398A"/>
    <w:rsid w:val="00453AC7"/>
    <w:rsid w:val="00453FFD"/>
    <w:rsid w:val="00455495"/>
    <w:rsid w:val="00455FD2"/>
    <w:rsid w:val="0045736A"/>
    <w:rsid w:val="00460DF1"/>
    <w:rsid w:val="00461BB7"/>
    <w:rsid w:val="00463CA5"/>
    <w:rsid w:val="00464469"/>
    <w:rsid w:val="00465117"/>
    <w:rsid w:val="0046519F"/>
    <w:rsid w:val="00465236"/>
    <w:rsid w:val="004657FC"/>
    <w:rsid w:val="00465AD1"/>
    <w:rsid w:val="00466479"/>
    <w:rsid w:val="004665B7"/>
    <w:rsid w:val="00466653"/>
    <w:rsid w:val="0046678C"/>
    <w:rsid w:val="0046760B"/>
    <w:rsid w:val="004702B9"/>
    <w:rsid w:val="00470BB5"/>
    <w:rsid w:val="004718FE"/>
    <w:rsid w:val="00471F93"/>
    <w:rsid w:val="00471FC3"/>
    <w:rsid w:val="00472F5C"/>
    <w:rsid w:val="00473A67"/>
    <w:rsid w:val="00474956"/>
    <w:rsid w:val="00474B58"/>
    <w:rsid w:val="00474C83"/>
    <w:rsid w:val="00474D46"/>
    <w:rsid w:val="00476421"/>
    <w:rsid w:val="00476B5C"/>
    <w:rsid w:val="00480DA8"/>
    <w:rsid w:val="004829FE"/>
    <w:rsid w:val="00483130"/>
    <w:rsid w:val="00483625"/>
    <w:rsid w:val="004845FB"/>
    <w:rsid w:val="004854F8"/>
    <w:rsid w:val="00485674"/>
    <w:rsid w:val="0048572B"/>
    <w:rsid w:val="004860C2"/>
    <w:rsid w:val="004871B3"/>
    <w:rsid w:val="00487807"/>
    <w:rsid w:val="00487944"/>
    <w:rsid w:val="00490153"/>
    <w:rsid w:val="00491266"/>
    <w:rsid w:val="004914A6"/>
    <w:rsid w:val="00491EC7"/>
    <w:rsid w:val="00492522"/>
    <w:rsid w:val="00492CAF"/>
    <w:rsid w:val="00494561"/>
    <w:rsid w:val="00495006"/>
    <w:rsid w:val="00495A25"/>
    <w:rsid w:val="00495CA9"/>
    <w:rsid w:val="00495D87"/>
    <w:rsid w:val="00495F6A"/>
    <w:rsid w:val="004963D7"/>
    <w:rsid w:val="004969A2"/>
    <w:rsid w:val="00496E0E"/>
    <w:rsid w:val="004978B8"/>
    <w:rsid w:val="004A07BF"/>
    <w:rsid w:val="004A14AD"/>
    <w:rsid w:val="004A1723"/>
    <w:rsid w:val="004A1D57"/>
    <w:rsid w:val="004A2462"/>
    <w:rsid w:val="004A2A46"/>
    <w:rsid w:val="004A2C49"/>
    <w:rsid w:val="004A3769"/>
    <w:rsid w:val="004A5050"/>
    <w:rsid w:val="004A51EB"/>
    <w:rsid w:val="004A5F3C"/>
    <w:rsid w:val="004A61B9"/>
    <w:rsid w:val="004A6A4E"/>
    <w:rsid w:val="004A6DB8"/>
    <w:rsid w:val="004A7384"/>
    <w:rsid w:val="004A7843"/>
    <w:rsid w:val="004A7D24"/>
    <w:rsid w:val="004A7DCF"/>
    <w:rsid w:val="004B0C5D"/>
    <w:rsid w:val="004B1084"/>
    <w:rsid w:val="004B23A5"/>
    <w:rsid w:val="004B247B"/>
    <w:rsid w:val="004B271C"/>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6745"/>
    <w:rsid w:val="004C753E"/>
    <w:rsid w:val="004C7780"/>
    <w:rsid w:val="004C7E89"/>
    <w:rsid w:val="004D05D3"/>
    <w:rsid w:val="004D06F3"/>
    <w:rsid w:val="004D135E"/>
    <w:rsid w:val="004D17F4"/>
    <w:rsid w:val="004D1D15"/>
    <w:rsid w:val="004D3A24"/>
    <w:rsid w:val="004D3AE0"/>
    <w:rsid w:val="004D5110"/>
    <w:rsid w:val="004D52DA"/>
    <w:rsid w:val="004D69FB"/>
    <w:rsid w:val="004D6F1D"/>
    <w:rsid w:val="004E06E9"/>
    <w:rsid w:val="004E0FAB"/>
    <w:rsid w:val="004E17D1"/>
    <w:rsid w:val="004E2908"/>
    <w:rsid w:val="004E2C11"/>
    <w:rsid w:val="004E2E25"/>
    <w:rsid w:val="004E3F0A"/>
    <w:rsid w:val="004E52C1"/>
    <w:rsid w:val="004E5ADD"/>
    <w:rsid w:val="004E5C82"/>
    <w:rsid w:val="004E78FE"/>
    <w:rsid w:val="004E7D05"/>
    <w:rsid w:val="004F05A7"/>
    <w:rsid w:val="004F07E5"/>
    <w:rsid w:val="004F0D4F"/>
    <w:rsid w:val="004F0F57"/>
    <w:rsid w:val="004F2470"/>
    <w:rsid w:val="004F2C10"/>
    <w:rsid w:val="004F2D29"/>
    <w:rsid w:val="004F346F"/>
    <w:rsid w:val="004F34C0"/>
    <w:rsid w:val="004F38B8"/>
    <w:rsid w:val="004F3C75"/>
    <w:rsid w:val="004F5BD1"/>
    <w:rsid w:val="004F5EFD"/>
    <w:rsid w:val="004F680F"/>
    <w:rsid w:val="004F7A38"/>
    <w:rsid w:val="0050137C"/>
    <w:rsid w:val="00502117"/>
    <w:rsid w:val="005038F5"/>
    <w:rsid w:val="00503E6D"/>
    <w:rsid w:val="00503EE0"/>
    <w:rsid w:val="0050475D"/>
    <w:rsid w:val="00504EE0"/>
    <w:rsid w:val="0050535B"/>
    <w:rsid w:val="00505594"/>
    <w:rsid w:val="005058C4"/>
    <w:rsid w:val="00505EB1"/>
    <w:rsid w:val="00506046"/>
    <w:rsid w:val="005061E3"/>
    <w:rsid w:val="005074B6"/>
    <w:rsid w:val="00510478"/>
    <w:rsid w:val="005104BB"/>
    <w:rsid w:val="00511841"/>
    <w:rsid w:val="00511A6D"/>
    <w:rsid w:val="00512153"/>
    <w:rsid w:val="00514468"/>
    <w:rsid w:val="0051451B"/>
    <w:rsid w:val="00514DDE"/>
    <w:rsid w:val="00515ECB"/>
    <w:rsid w:val="00520331"/>
    <w:rsid w:val="00521B6A"/>
    <w:rsid w:val="0052234D"/>
    <w:rsid w:val="00522EE4"/>
    <w:rsid w:val="005231CD"/>
    <w:rsid w:val="00523217"/>
    <w:rsid w:val="00524632"/>
    <w:rsid w:val="0052542B"/>
    <w:rsid w:val="0052542D"/>
    <w:rsid w:val="00525B92"/>
    <w:rsid w:val="00526159"/>
    <w:rsid w:val="00526D6D"/>
    <w:rsid w:val="00527000"/>
    <w:rsid w:val="00527D19"/>
    <w:rsid w:val="00530312"/>
    <w:rsid w:val="00530602"/>
    <w:rsid w:val="00530783"/>
    <w:rsid w:val="00531B6D"/>
    <w:rsid w:val="005328AC"/>
    <w:rsid w:val="005341A3"/>
    <w:rsid w:val="00534D2C"/>
    <w:rsid w:val="00534D81"/>
    <w:rsid w:val="00535549"/>
    <w:rsid w:val="00536B89"/>
    <w:rsid w:val="00536CE1"/>
    <w:rsid w:val="00536D06"/>
    <w:rsid w:val="00537533"/>
    <w:rsid w:val="005401AF"/>
    <w:rsid w:val="00540486"/>
    <w:rsid w:val="00540586"/>
    <w:rsid w:val="005417CD"/>
    <w:rsid w:val="00541E39"/>
    <w:rsid w:val="00542AAA"/>
    <w:rsid w:val="00542D7E"/>
    <w:rsid w:val="00543389"/>
    <w:rsid w:val="005438C6"/>
    <w:rsid w:val="00543C52"/>
    <w:rsid w:val="0054621E"/>
    <w:rsid w:val="00546554"/>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2B5"/>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4827"/>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48D"/>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801"/>
    <w:rsid w:val="005B0DB3"/>
    <w:rsid w:val="005B1537"/>
    <w:rsid w:val="005B2F16"/>
    <w:rsid w:val="005B32B5"/>
    <w:rsid w:val="005B3518"/>
    <w:rsid w:val="005B41CA"/>
    <w:rsid w:val="005B71FB"/>
    <w:rsid w:val="005B7565"/>
    <w:rsid w:val="005B7D49"/>
    <w:rsid w:val="005C1A32"/>
    <w:rsid w:val="005C1B2E"/>
    <w:rsid w:val="005C2650"/>
    <w:rsid w:val="005C2DDC"/>
    <w:rsid w:val="005C52A4"/>
    <w:rsid w:val="005C669F"/>
    <w:rsid w:val="005C6D04"/>
    <w:rsid w:val="005C7695"/>
    <w:rsid w:val="005C7953"/>
    <w:rsid w:val="005D0D3F"/>
    <w:rsid w:val="005D0FEB"/>
    <w:rsid w:val="005D112C"/>
    <w:rsid w:val="005D1834"/>
    <w:rsid w:val="005D259B"/>
    <w:rsid w:val="005D28B7"/>
    <w:rsid w:val="005D359D"/>
    <w:rsid w:val="005D52FB"/>
    <w:rsid w:val="005D53B6"/>
    <w:rsid w:val="005D6411"/>
    <w:rsid w:val="005D6D7E"/>
    <w:rsid w:val="005D725E"/>
    <w:rsid w:val="005E0F42"/>
    <w:rsid w:val="005E1EE9"/>
    <w:rsid w:val="005E2645"/>
    <w:rsid w:val="005E3318"/>
    <w:rsid w:val="005E4A61"/>
    <w:rsid w:val="005E53B1"/>
    <w:rsid w:val="005E5820"/>
    <w:rsid w:val="005E624A"/>
    <w:rsid w:val="005E6482"/>
    <w:rsid w:val="005E6622"/>
    <w:rsid w:val="005E737E"/>
    <w:rsid w:val="005E7F95"/>
    <w:rsid w:val="005F0D57"/>
    <w:rsid w:val="005F1099"/>
    <w:rsid w:val="005F13D3"/>
    <w:rsid w:val="005F1D3C"/>
    <w:rsid w:val="005F1DA2"/>
    <w:rsid w:val="005F2908"/>
    <w:rsid w:val="005F324E"/>
    <w:rsid w:val="005F416C"/>
    <w:rsid w:val="005F4B6C"/>
    <w:rsid w:val="005F4E97"/>
    <w:rsid w:val="005F549F"/>
    <w:rsid w:val="005F5D3E"/>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546"/>
    <w:rsid w:val="00614694"/>
    <w:rsid w:val="00614724"/>
    <w:rsid w:val="0061511E"/>
    <w:rsid w:val="0061554A"/>
    <w:rsid w:val="00615EB2"/>
    <w:rsid w:val="00616684"/>
    <w:rsid w:val="0061704B"/>
    <w:rsid w:val="00617974"/>
    <w:rsid w:val="006206BB"/>
    <w:rsid w:val="00621192"/>
    <w:rsid w:val="006211BC"/>
    <w:rsid w:val="00621F61"/>
    <w:rsid w:val="00621FB7"/>
    <w:rsid w:val="00622134"/>
    <w:rsid w:val="006222B0"/>
    <w:rsid w:val="00622D5F"/>
    <w:rsid w:val="00622F8D"/>
    <w:rsid w:val="00624399"/>
    <w:rsid w:val="00624D12"/>
    <w:rsid w:val="006250FB"/>
    <w:rsid w:val="00626214"/>
    <w:rsid w:val="00626273"/>
    <w:rsid w:val="00626D6A"/>
    <w:rsid w:val="00626E96"/>
    <w:rsid w:val="006274A4"/>
    <w:rsid w:val="006278C0"/>
    <w:rsid w:val="00630290"/>
    <w:rsid w:val="00631481"/>
    <w:rsid w:val="00631E30"/>
    <w:rsid w:val="00632A46"/>
    <w:rsid w:val="00632E3D"/>
    <w:rsid w:val="00633253"/>
    <w:rsid w:val="006343B2"/>
    <w:rsid w:val="00634663"/>
    <w:rsid w:val="00634978"/>
    <w:rsid w:val="00634F83"/>
    <w:rsid w:val="00635656"/>
    <w:rsid w:val="00635C86"/>
    <w:rsid w:val="00636417"/>
    <w:rsid w:val="00637636"/>
    <w:rsid w:val="00637A2D"/>
    <w:rsid w:val="00640D75"/>
    <w:rsid w:val="00641878"/>
    <w:rsid w:val="00644A8B"/>
    <w:rsid w:val="0064533D"/>
    <w:rsid w:val="00645C20"/>
    <w:rsid w:val="006469F8"/>
    <w:rsid w:val="00647A68"/>
    <w:rsid w:val="00647D86"/>
    <w:rsid w:val="00651EB1"/>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61B"/>
    <w:rsid w:val="00671C60"/>
    <w:rsid w:val="00672625"/>
    <w:rsid w:val="00672E7A"/>
    <w:rsid w:val="006736ED"/>
    <w:rsid w:val="00673C7A"/>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179"/>
    <w:rsid w:val="006867F9"/>
    <w:rsid w:val="00686948"/>
    <w:rsid w:val="00690452"/>
    <w:rsid w:val="00690CED"/>
    <w:rsid w:val="00691CC4"/>
    <w:rsid w:val="0069273F"/>
    <w:rsid w:val="00693BED"/>
    <w:rsid w:val="006942F4"/>
    <w:rsid w:val="006950B9"/>
    <w:rsid w:val="00695779"/>
    <w:rsid w:val="006957BF"/>
    <w:rsid w:val="00695965"/>
    <w:rsid w:val="006960B5"/>
    <w:rsid w:val="00696F1E"/>
    <w:rsid w:val="0069790B"/>
    <w:rsid w:val="006A1B9F"/>
    <w:rsid w:val="006A1BAA"/>
    <w:rsid w:val="006A1FCD"/>
    <w:rsid w:val="006A3251"/>
    <w:rsid w:val="006A325F"/>
    <w:rsid w:val="006A3E2C"/>
    <w:rsid w:val="006A3F90"/>
    <w:rsid w:val="006A4E9C"/>
    <w:rsid w:val="006A56F6"/>
    <w:rsid w:val="006A5CF6"/>
    <w:rsid w:val="006A7B8B"/>
    <w:rsid w:val="006B04CE"/>
    <w:rsid w:val="006B11BE"/>
    <w:rsid w:val="006B17E1"/>
    <w:rsid w:val="006B241D"/>
    <w:rsid w:val="006B27B4"/>
    <w:rsid w:val="006B3540"/>
    <w:rsid w:val="006B4C68"/>
    <w:rsid w:val="006B4F1A"/>
    <w:rsid w:val="006B53E2"/>
    <w:rsid w:val="006B5478"/>
    <w:rsid w:val="006B57DD"/>
    <w:rsid w:val="006B5D86"/>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02C"/>
    <w:rsid w:val="00702808"/>
    <w:rsid w:val="00702AC5"/>
    <w:rsid w:val="00703235"/>
    <w:rsid w:val="007045E2"/>
    <w:rsid w:val="00704607"/>
    <w:rsid w:val="0070462F"/>
    <w:rsid w:val="00704FE4"/>
    <w:rsid w:val="00705DFE"/>
    <w:rsid w:val="007066FC"/>
    <w:rsid w:val="00707BE3"/>
    <w:rsid w:val="00710B02"/>
    <w:rsid w:val="007117C0"/>
    <w:rsid w:val="00713DB8"/>
    <w:rsid w:val="00715B36"/>
    <w:rsid w:val="00715FD9"/>
    <w:rsid w:val="007163CD"/>
    <w:rsid w:val="007164AA"/>
    <w:rsid w:val="007172F1"/>
    <w:rsid w:val="00717A1D"/>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079C"/>
    <w:rsid w:val="007333B9"/>
    <w:rsid w:val="00733B82"/>
    <w:rsid w:val="0073427D"/>
    <w:rsid w:val="0073540A"/>
    <w:rsid w:val="00736BFB"/>
    <w:rsid w:val="007412A3"/>
    <w:rsid w:val="007412C3"/>
    <w:rsid w:val="0074344B"/>
    <w:rsid w:val="00743CA8"/>
    <w:rsid w:val="007444F7"/>
    <w:rsid w:val="007459B8"/>
    <w:rsid w:val="00745E9A"/>
    <w:rsid w:val="00746098"/>
    <w:rsid w:val="00746C78"/>
    <w:rsid w:val="0075079F"/>
    <w:rsid w:val="00750EA1"/>
    <w:rsid w:val="00752484"/>
    <w:rsid w:val="007575E9"/>
    <w:rsid w:val="007577DC"/>
    <w:rsid w:val="007612BD"/>
    <w:rsid w:val="0076214F"/>
    <w:rsid w:val="00762CFE"/>
    <w:rsid w:val="00764377"/>
    <w:rsid w:val="007649B9"/>
    <w:rsid w:val="00765FC2"/>
    <w:rsid w:val="00767897"/>
    <w:rsid w:val="00770B75"/>
    <w:rsid w:val="007714FF"/>
    <w:rsid w:val="00771668"/>
    <w:rsid w:val="00771E48"/>
    <w:rsid w:val="007724C7"/>
    <w:rsid w:val="00772BE1"/>
    <w:rsid w:val="007730F1"/>
    <w:rsid w:val="007737B6"/>
    <w:rsid w:val="00774612"/>
    <w:rsid w:val="00774AF0"/>
    <w:rsid w:val="00774F22"/>
    <w:rsid w:val="00775706"/>
    <w:rsid w:val="0077796D"/>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4F1A"/>
    <w:rsid w:val="00796760"/>
    <w:rsid w:val="00796975"/>
    <w:rsid w:val="007970BD"/>
    <w:rsid w:val="007972CE"/>
    <w:rsid w:val="007974CF"/>
    <w:rsid w:val="007A05ED"/>
    <w:rsid w:val="007A15DB"/>
    <w:rsid w:val="007A1CE2"/>
    <w:rsid w:val="007A2244"/>
    <w:rsid w:val="007A45CE"/>
    <w:rsid w:val="007A55B0"/>
    <w:rsid w:val="007A639A"/>
    <w:rsid w:val="007A65AE"/>
    <w:rsid w:val="007A678D"/>
    <w:rsid w:val="007A6A94"/>
    <w:rsid w:val="007A6C54"/>
    <w:rsid w:val="007A6E48"/>
    <w:rsid w:val="007A705F"/>
    <w:rsid w:val="007A78FE"/>
    <w:rsid w:val="007B0187"/>
    <w:rsid w:val="007B0DDC"/>
    <w:rsid w:val="007B11DD"/>
    <w:rsid w:val="007B1253"/>
    <w:rsid w:val="007B153F"/>
    <w:rsid w:val="007B2073"/>
    <w:rsid w:val="007B24CD"/>
    <w:rsid w:val="007B262D"/>
    <w:rsid w:val="007B4A55"/>
    <w:rsid w:val="007B5415"/>
    <w:rsid w:val="007B5418"/>
    <w:rsid w:val="007C0902"/>
    <w:rsid w:val="007C0E6F"/>
    <w:rsid w:val="007C1CFA"/>
    <w:rsid w:val="007C1F3E"/>
    <w:rsid w:val="007C2B34"/>
    <w:rsid w:val="007C3890"/>
    <w:rsid w:val="007C3E50"/>
    <w:rsid w:val="007C3F92"/>
    <w:rsid w:val="007C62EF"/>
    <w:rsid w:val="007C709C"/>
    <w:rsid w:val="007C7F32"/>
    <w:rsid w:val="007D0172"/>
    <w:rsid w:val="007D0449"/>
    <w:rsid w:val="007D0F81"/>
    <w:rsid w:val="007D1BA4"/>
    <w:rsid w:val="007D2671"/>
    <w:rsid w:val="007D2AAE"/>
    <w:rsid w:val="007D2C27"/>
    <w:rsid w:val="007D3306"/>
    <w:rsid w:val="007D407D"/>
    <w:rsid w:val="007D4512"/>
    <w:rsid w:val="007D670D"/>
    <w:rsid w:val="007D7A92"/>
    <w:rsid w:val="007D7EA9"/>
    <w:rsid w:val="007E06DB"/>
    <w:rsid w:val="007E07A3"/>
    <w:rsid w:val="007E1C4D"/>
    <w:rsid w:val="007E2855"/>
    <w:rsid w:val="007E3C8A"/>
    <w:rsid w:val="007E3F10"/>
    <w:rsid w:val="007E4610"/>
    <w:rsid w:val="007E7D06"/>
    <w:rsid w:val="007F0B07"/>
    <w:rsid w:val="007F0D98"/>
    <w:rsid w:val="007F0F2B"/>
    <w:rsid w:val="007F1CE6"/>
    <w:rsid w:val="007F1E5C"/>
    <w:rsid w:val="007F2E0A"/>
    <w:rsid w:val="007F4762"/>
    <w:rsid w:val="007F47D9"/>
    <w:rsid w:val="007F6A7A"/>
    <w:rsid w:val="007F78B0"/>
    <w:rsid w:val="007F7C1B"/>
    <w:rsid w:val="007F7C6E"/>
    <w:rsid w:val="007F7CEF"/>
    <w:rsid w:val="0080044F"/>
    <w:rsid w:val="00800C2E"/>
    <w:rsid w:val="00802DDE"/>
    <w:rsid w:val="008032DD"/>
    <w:rsid w:val="008033A9"/>
    <w:rsid w:val="008037C0"/>
    <w:rsid w:val="0080435B"/>
    <w:rsid w:val="00804CFC"/>
    <w:rsid w:val="008052B0"/>
    <w:rsid w:val="00805D85"/>
    <w:rsid w:val="00806546"/>
    <w:rsid w:val="00807513"/>
    <w:rsid w:val="00807953"/>
    <w:rsid w:val="008108A4"/>
    <w:rsid w:val="008108BA"/>
    <w:rsid w:val="00810DB9"/>
    <w:rsid w:val="00810EA3"/>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3EEC"/>
    <w:rsid w:val="00824CBF"/>
    <w:rsid w:val="008254AA"/>
    <w:rsid w:val="00825F93"/>
    <w:rsid w:val="00826653"/>
    <w:rsid w:val="00826D97"/>
    <w:rsid w:val="00827DE9"/>
    <w:rsid w:val="00831E60"/>
    <w:rsid w:val="00832487"/>
    <w:rsid w:val="00833841"/>
    <w:rsid w:val="008348E4"/>
    <w:rsid w:val="0083498B"/>
    <w:rsid w:val="00834D1A"/>
    <w:rsid w:val="00835132"/>
    <w:rsid w:val="008351EE"/>
    <w:rsid w:val="00836007"/>
    <w:rsid w:val="008368AB"/>
    <w:rsid w:val="008375DF"/>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34E6"/>
    <w:rsid w:val="00853641"/>
    <w:rsid w:val="00854867"/>
    <w:rsid w:val="00854F6D"/>
    <w:rsid w:val="00856274"/>
    <w:rsid w:val="00856558"/>
    <w:rsid w:val="0085661F"/>
    <w:rsid w:val="00856DB6"/>
    <w:rsid w:val="008572F7"/>
    <w:rsid w:val="008573DE"/>
    <w:rsid w:val="00857457"/>
    <w:rsid w:val="0085753E"/>
    <w:rsid w:val="00857D4F"/>
    <w:rsid w:val="00857F56"/>
    <w:rsid w:val="0086024D"/>
    <w:rsid w:val="00860487"/>
    <w:rsid w:val="008606E9"/>
    <w:rsid w:val="00860CD7"/>
    <w:rsid w:val="00860E0D"/>
    <w:rsid w:val="008613B8"/>
    <w:rsid w:val="0086339E"/>
    <w:rsid w:val="008642E9"/>
    <w:rsid w:val="00864921"/>
    <w:rsid w:val="00864D34"/>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56F6"/>
    <w:rsid w:val="00876268"/>
    <w:rsid w:val="008767E4"/>
    <w:rsid w:val="0087683D"/>
    <w:rsid w:val="00877121"/>
    <w:rsid w:val="0088088C"/>
    <w:rsid w:val="00880BFC"/>
    <w:rsid w:val="00881271"/>
    <w:rsid w:val="00881B97"/>
    <w:rsid w:val="00881F6F"/>
    <w:rsid w:val="00881FC6"/>
    <w:rsid w:val="00882C99"/>
    <w:rsid w:val="00883945"/>
    <w:rsid w:val="008843C0"/>
    <w:rsid w:val="0088570E"/>
    <w:rsid w:val="00885AEF"/>
    <w:rsid w:val="008860D1"/>
    <w:rsid w:val="008871BE"/>
    <w:rsid w:val="00887F56"/>
    <w:rsid w:val="008909A1"/>
    <w:rsid w:val="00890DB2"/>
    <w:rsid w:val="0089131D"/>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C08"/>
    <w:rsid w:val="008A1DE9"/>
    <w:rsid w:val="008A401F"/>
    <w:rsid w:val="008A53BE"/>
    <w:rsid w:val="008A5A76"/>
    <w:rsid w:val="008A689A"/>
    <w:rsid w:val="008A6E06"/>
    <w:rsid w:val="008B246D"/>
    <w:rsid w:val="008B27E3"/>
    <w:rsid w:val="008B2D5E"/>
    <w:rsid w:val="008B37DF"/>
    <w:rsid w:val="008B3BB1"/>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2DA"/>
    <w:rsid w:val="008D1C11"/>
    <w:rsid w:val="008D2D6C"/>
    <w:rsid w:val="008D37C0"/>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BC1"/>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8B4"/>
    <w:rsid w:val="00900C1A"/>
    <w:rsid w:val="00901D10"/>
    <w:rsid w:val="009024D6"/>
    <w:rsid w:val="009032EB"/>
    <w:rsid w:val="00903386"/>
    <w:rsid w:val="009041C1"/>
    <w:rsid w:val="009051CC"/>
    <w:rsid w:val="009052FB"/>
    <w:rsid w:val="00905804"/>
    <w:rsid w:val="00906533"/>
    <w:rsid w:val="00906BA4"/>
    <w:rsid w:val="009070F0"/>
    <w:rsid w:val="0091067D"/>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32C9"/>
    <w:rsid w:val="00955FBB"/>
    <w:rsid w:val="00956692"/>
    <w:rsid w:val="009574D3"/>
    <w:rsid w:val="00957DF4"/>
    <w:rsid w:val="009608F3"/>
    <w:rsid w:val="00960C1E"/>
    <w:rsid w:val="00960E2D"/>
    <w:rsid w:val="00961036"/>
    <w:rsid w:val="00962215"/>
    <w:rsid w:val="009623C7"/>
    <w:rsid w:val="009635B3"/>
    <w:rsid w:val="00964535"/>
    <w:rsid w:val="00965FD2"/>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6536"/>
    <w:rsid w:val="00976C58"/>
    <w:rsid w:val="00977A94"/>
    <w:rsid w:val="0098089B"/>
    <w:rsid w:val="009809F7"/>
    <w:rsid w:val="009813A9"/>
    <w:rsid w:val="009815CD"/>
    <w:rsid w:val="009816AF"/>
    <w:rsid w:val="0098193C"/>
    <w:rsid w:val="00981EAD"/>
    <w:rsid w:val="00981EBA"/>
    <w:rsid w:val="0098301A"/>
    <w:rsid w:val="00983A85"/>
    <w:rsid w:val="00983E59"/>
    <w:rsid w:val="00984DC8"/>
    <w:rsid w:val="009852AA"/>
    <w:rsid w:val="009852B1"/>
    <w:rsid w:val="0098781B"/>
    <w:rsid w:val="00987F4E"/>
    <w:rsid w:val="0099006D"/>
    <w:rsid w:val="009941CE"/>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A6E33"/>
    <w:rsid w:val="009B1323"/>
    <w:rsid w:val="009B202B"/>
    <w:rsid w:val="009B30B6"/>
    <w:rsid w:val="009B3149"/>
    <w:rsid w:val="009B3B58"/>
    <w:rsid w:val="009B3C01"/>
    <w:rsid w:val="009B42BB"/>
    <w:rsid w:val="009B4623"/>
    <w:rsid w:val="009B4A40"/>
    <w:rsid w:val="009B5248"/>
    <w:rsid w:val="009B5964"/>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7D8"/>
    <w:rsid w:val="009D1AE9"/>
    <w:rsid w:val="009D2206"/>
    <w:rsid w:val="009D2CD6"/>
    <w:rsid w:val="009D325B"/>
    <w:rsid w:val="009D36DA"/>
    <w:rsid w:val="009D3BAC"/>
    <w:rsid w:val="009D3C8E"/>
    <w:rsid w:val="009D4FE9"/>
    <w:rsid w:val="009D594F"/>
    <w:rsid w:val="009D624F"/>
    <w:rsid w:val="009D694A"/>
    <w:rsid w:val="009D7ADD"/>
    <w:rsid w:val="009E0C7F"/>
    <w:rsid w:val="009E1997"/>
    <w:rsid w:val="009E1CE8"/>
    <w:rsid w:val="009E3539"/>
    <w:rsid w:val="009E4092"/>
    <w:rsid w:val="009E40EC"/>
    <w:rsid w:val="009E4956"/>
    <w:rsid w:val="009E51D9"/>
    <w:rsid w:val="009E65DD"/>
    <w:rsid w:val="009F0088"/>
    <w:rsid w:val="009F14D6"/>
    <w:rsid w:val="009F1D78"/>
    <w:rsid w:val="009F2698"/>
    <w:rsid w:val="009F2716"/>
    <w:rsid w:val="009F2DBE"/>
    <w:rsid w:val="009F360C"/>
    <w:rsid w:val="009F3CD6"/>
    <w:rsid w:val="009F3D34"/>
    <w:rsid w:val="009F4A33"/>
    <w:rsid w:val="009F4D80"/>
    <w:rsid w:val="009F4FB2"/>
    <w:rsid w:val="009F5289"/>
    <w:rsid w:val="009F5514"/>
    <w:rsid w:val="009F665C"/>
    <w:rsid w:val="009F6816"/>
    <w:rsid w:val="009F7ECF"/>
    <w:rsid w:val="00A0023F"/>
    <w:rsid w:val="00A015E5"/>
    <w:rsid w:val="00A0165F"/>
    <w:rsid w:val="00A01D56"/>
    <w:rsid w:val="00A03EB7"/>
    <w:rsid w:val="00A040C3"/>
    <w:rsid w:val="00A042C1"/>
    <w:rsid w:val="00A0469C"/>
    <w:rsid w:val="00A048BC"/>
    <w:rsid w:val="00A04B90"/>
    <w:rsid w:val="00A06651"/>
    <w:rsid w:val="00A07979"/>
    <w:rsid w:val="00A10DCB"/>
    <w:rsid w:val="00A11AAE"/>
    <w:rsid w:val="00A11F5B"/>
    <w:rsid w:val="00A12814"/>
    <w:rsid w:val="00A12E1E"/>
    <w:rsid w:val="00A12FDA"/>
    <w:rsid w:val="00A13688"/>
    <w:rsid w:val="00A1423C"/>
    <w:rsid w:val="00A14612"/>
    <w:rsid w:val="00A14908"/>
    <w:rsid w:val="00A14B51"/>
    <w:rsid w:val="00A16052"/>
    <w:rsid w:val="00A16CE9"/>
    <w:rsid w:val="00A17475"/>
    <w:rsid w:val="00A20C39"/>
    <w:rsid w:val="00A2102A"/>
    <w:rsid w:val="00A21160"/>
    <w:rsid w:val="00A2168A"/>
    <w:rsid w:val="00A216AA"/>
    <w:rsid w:val="00A2183E"/>
    <w:rsid w:val="00A21F4C"/>
    <w:rsid w:val="00A2308A"/>
    <w:rsid w:val="00A236E1"/>
    <w:rsid w:val="00A23BD2"/>
    <w:rsid w:val="00A241C8"/>
    <w:rsid w:val="00A253DC"/>
    <w:rsid w:val="00A25BCB"/>
    <w:rsid w:val="00A265CE"/>
    <w:rsid w:val="00A27932"/>
    <w:rsid w:val="00A30A91"/>
    <w:rsid w:val="00A3103C"/>
    <w:rsid w:val="00A3295F"/>
    <w:rsid w:val="00A32FCA"/>
    <w:rsid w:val="00A3386A"/>
    <w:rsid w:val="00A33D1E"/>
    <w:rsid w:val="00A34C6F"/>
    <w:rsid w:val="00A34D46"/>
    <w:rsid w:val="00A35654"/>
    <w:rsid w:val="00A369A6"/>
    <w:rsid w:val="00A36D82"/>
    <w:rsid w:val="00A373F4"/>
    <w:rsid w:val="00A3778C"/>
    <w:rsid w:val="00A37B44"/>
    <w:rsid w:val="00A40368"/>
    <w:rsid w:val="00A40B7C"/>
    <w:rsid w:val="00A41ED8"/>
    <w:rsid w:val="00A42A24"/>
    <w:rsid w:val="00A42C4C"/>
    <w:rsid w:val="00A43EB7"/>
    <w:rsid w:val="00A44FDC"/>
    <w:rsid w:val="00A44FEF"/>
    <w:rsid w:val="00A45FEF"/>
    <w:rsid w:val="00A464AC"/>
    <w:rsid w:val="00A472D6"/>
    <w:rsid w:val="00A47A34"/>
    <w:rsid w:val="00A5008B"/>
    <w:rsid w:val="00A50869"/>
    <w:rsid w:val="00A5112F"/>
    <w:rsid w:val="00A516D6"/>
    <w:rsid w:val="00A516FD"/>
    <w:rsid w:val="00A5173B"/>
    <w:rsid w:val="00A51B24"/>
    <w:rsid w:val="00A52A81"/>
    <w:rsid w:val="00A53367"/>
    <w:rsid w:val="00A56195"/>
    <w:rsid w:val="00A56364"/>
    <w:rsid w:val="00A563E1"/>
    <w:rsid w:val="00A60422"/>
    <w:rsid w:val="00A618EF"/>
    <w:rsid w:val="00A62856"/>
    <w:rsid w:val="00A64045"/>
    <w:rsid w:val="00A640E4"/>
    <w:rsid w:val="00A64DFC"/>
    <w:rsid w:val="00A6622C"/>
    <w:rsid w:val="00A673D1"/>
    <w:rsid w:val="00A67456"/>
    <w:rsid w:val="00A7110F"/>
    <w:rsid w:val="00A7114C"/>
    <w:rsid w:val="00A71990"/>
    <w:rsid w:val="00A72EB5"/>
    <w:rsid w:val="00A7382F"/>
    <w:rsid w:val="00A73B8C"/>
    <w:rsid w:val="00A74286"/>
    <w:rsid w:val="00A74CD2"/>
    <w:rsid w:val="00A74DE5"/>
    <w:rsid w:val="00A75277"/>
    <w:rsid w:val="00A752FE"/>
    <w:rsid w:val="00A75E98"/>
    <w:rsid w:val="00A779DC"/>
    <w:rsid w:val="00A810AB"/>
    <w:rsid w:val="00A812B5"/>
    <w:rsid w:val="00A818E2"/>
    <w:rsid w:val="00A81D36"/>
    <w:rsid w:val="00A82FE0"/>
    <w:rsid w:val="00A837B1"/>
    <w:rsid w:val="00A83A72"/>
    <w:rsid w:val="00A83F37"/>
    <w:rsid w:val="00A8431B"/>
    <w:rsid w:val="00A8482E"/>
    <w:rsid w:val="00A84C96"/>
    <w:rsid w:val="00A84F27"/>
    <w:rsid w:val="00A85D1B"/>
    <w:rsid w:val="00A86D92"/>
    <w:rsid w:val="00A86DF5"/>
    <w:rsid w:val="00A87560"/>
    <w:rsid w:val="00A90D09"/>
    <w:rsid w:val="00A91ABA"/>
    <w:rsid w:val="00A91BE5"/>
    <w:rsid w:val="00A91E60"/>
    <w:rsid w:val="00A920A8"/>
    <w:rsid w:val="00A94A83"/>
    <w:rsid w:val="00A94CCA"/>
    <w:rsid w:val="00A95275"/>
    <w:rsid w:val="00A95295"/>
    <w:rsid w:val="00A9535D"/>
    <w:rsid w:val="00A97002"/>
    <w:rsid w:val="00A97531"/>
    <w:rsid w:val="00A97A29"/>
    <w:rsid w:val="00A97EE2"/>
    <w:rsid w:val="00AA0A98"/>
    <w:rsid w:val="00AA1525"/>
    <w:rsid w:val="00AA1F2C"/>
    <w:rsid w:val="00AA2025"/>
    <w:rsid w:val="00AA2334"/>
    <w:rsid w:val="00AA2506"/>
    <w:rsid w:val="00AA260C"/>
    <w:rsid w:val="00AA27DA"/>
    <w:rsid w:val="00AA296E"/>
    <w:rsid w:val="00AA29E1"/>
    <w:rsid w:val="00AA3328"/>
    <w:rsid w:val="00AA45EB"/>
    <w:rsid w:val="00AA471D"/>
    <w:rsid w:val="00AA4EF1"/>
    <w:rsid w:val="00AA581F"/>
    <w:rsid w:val="00AA598D"/>
    <w:rsid w:val="00AA5AE7"/>
    <w:rsid w:val="00AA6BF1"/>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7C1"/>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6072"/>
    <w:rsid w:val="00B070CE"/>
    <w:rsid w:val="00B076F6"/>
    <w:rsid w:val="00B07EE4"/>
    <w:rsid w:val="00B110FE"/>
    <w:rsid w:val="00B11192"/>
    <w:rsid w:val="00B12193"/>
    <w:rsid w:val="00B1267E"/>
    <w:rsid w:val="00B12832"/>
    <w:rsid w:val="00B128B5"/>
    <w:rsid w:val="00B1307E"/>
    <w:rsid w:val="00B13CF4"/>
    <w:rsid w:val="00B14EA7"/>
    <w:rsid w:val="00B16275"/>
    <w:rsid w:val="00B165CE"/>
    <w:rsid w:val="00B16D8A"/>
    <w:rsid w:val="00B20177"/>
    <w:rsid w:val="00B21369"/>
    <w:rsid w:val="00B22721"/>
    <w:rsid w:val="00B2409C"/>
    <w:rsid w:val="00B24184"/>
    <w:rsid w:val="00B24557"/>
    <w:rsid w:val="00B24C9B"/>
    <w:rsid w:val="00B254C6"/>
    <w:rsid w:val="00B25B82"/>
    <w:rsid w:val="00B26F08"/>
    <w:rsid w:val="00B33732"/>
    <w:rsid w:val="00B33834"/>
    <w:rsid w:val="00B33D58"/>
    <w:rsid w:val="00B33FBE"/>
    <w:rsid w:val="00B357D4"/>
    <w:rsid w:val="00B36132"/>
    <w:rsid w:val="00B366A0"/>
    <w:rsid w:val="00B376C0"/>
    <w:rsid w:val="00B403DC"/>
    <w:rsid w:val="00B40620"/>
    <w:rsid w:val="00B40C82"/>
    <w:rsid w:val="00B42F80"/>
    <w:rsid w:val="00B43E62"/>
    <w:rsid w:val="00B4451A"/>
    <w:rsid w:val="00B44F9B"/>
    <w:rsid w:val="00B458D2"/>
    <w:rsid w:val="00B4630E"/>
    <w:rsid w:val="00B477AA"/>
    <w:rsid w:val="00B47E81"/>
    <w:rsid w:val="00B5040D"/>
    <w:rsid w:val="00B511B1"/>
    <w:rsid w:val="00B511C4"/>
    <w:rsid w:val="00B51A91"/>
    <w:rsid w:val="00B539A8"/>
    <w:rsid w:val="00B53D88"/>
    <w:rsid w:val="00B53EB1"/>
    <w:rsid w:val="00B554D3"/>
    <w:rsid w:val="00B5591B"/>
    <w:rsid w:val="00B56174"/>
    <w:rsid w:val="00B5734D"/>
    <w:rsid w:val="00B57E44"/>
    <w:rsid w:val="00B60981"/>
    <w:rsid w:val="00B60B2D"/>
    <w:rsid w:val="00B6174C"/>
    <w:rsid w:val="00B6238A"/>
    <w:rsid w:val="00B627F4"/>
    <w:rsid w:val="00B62912"/>
    <w:rsid w:val="00B62AD5"/>
    <w:rsid w:val="00B65893"/>
    <w:rsid w:val="00B659F2"/>
    <w:rsid w:val="00B65B37"/>
    <w:rsid w:val="00B67FE6"/>
    <w:rsid w:val="00B72325"/>
    <w:rsid w:val="00B72880"/>
    <w:rsid w:val="00B73637"/>
    <w:rsid w:val="00B73A57"/>
    <w:rsid w:val="00B748C5"/>
    <w:rsid w:val="00B75DEF"/>
    <w:rsid w:val="00B76C4A"/>
    <w:rsid w:val="00B77597"/>
    <w:rsid w:val="00B775A7"/>
    <w:rsid w:val="00B803A2"/>
    <w:rsid w:val="00B80D86"/>
    <w:rsid w:val="00B8119C"/>
    <w:rsid w:val="00B835EA"/>
    <w:rsid w:val="00B836E6"/>
    <w:rsid w:val="00B839C8"/>
    <w:rsid w:val="00B84B67"/>
    <w:rsid w:val="00B856AE"/>
    <w:rsid w:val="00B86009"/>
    <w:rsid w:val="00B87131"/>
    <w:rsid w:val="00B87DD9"/>
    <w:rsid w:val="00B92720"/>
    <w:rsid w:val="00B92AD3"/>
    <w:rsid w:val="00B94010"/>
    <w:rsid w:val="00B94097"/>
    <w:rsid w:val="00B95335"/>
    <w:rsid w:val="00B96275"/>
    <w:rsid w:val="00B9631C"/>
    <w:rsid w:val="00B97AB1"/>
    <w:rsid w:val="00B97B96"/>
    <w:rsid w:val="00BA01E3"/>
    <w:rsid w:val="00BA06B2"/>
    <w:rsid w:val="00BA075F"/>
    <w:rsid w:val="00BA0926"/>
    <w:rsid w:val="00BA0C46"/>
    <w:rsid w:val="00BA101E"/>
    <w:rsid w:val="00BA16D2"/>
    <w:rsid w:val="00BA19EA"/>
    <w:rsid w:val="00BA1CB7"/>
    <w:rsid w:val="00BA225A"/>
    <w:rsid w:val="00BA2F73"/>
    <w:rsid w:val="00BA329C"/>
    <w:rsid w:val="00BA38CD"/>
    <w:rsid w:val="00BA3E6D"/>
    <w:rsid w:val="00BA48F6"/>
    <w:rsid w:val="00BA54F5"/>
    <w:rsid w:val="00BA60B8"/>
    <w:rsid w:val="00BA61B0"/>
    <w:rsid w:val="00BA749B"/>
    <w:rsid w:val="00BA765E"/>
    <w:rsid w:val="00BA7672"/>
    <w:rsid w:val="00BA7C08"/>
    <w:rsid w:val="00BA7FA9"/>
    <w:rsid w:val="00BB11A6"/>
    <w:rsid w:val="00BB14A0"/>
    <w:rsid w:val="00BB151C"/>
    <w:rsid w:val="00BB1A88"/>
    <w:rsid w:val="00BB1B23"/>
    <w:rsid w:val="00BB1F27"/>
    <w:rsid w:val="00BB30AB"/>
    <w:rsid w:val="00BB461B"/>
    <w:rsid w:val="00BB486E"/>
    <w:rsid w:val="00BB5FED"/>
    <w:rsid w:val="00BB62A9"/>
    <w:rsid w:val="00BB7CA0"/>
    <w:rsid w:val="00BC044D"/>
    <w:rsid w:val="00BC055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1DA2"/>
    <w:rsid w:val="00BD2329"/>
    <w:rsid w:val="00BD2469"/>
    <w:rsid w:val="00BD2809"/>
    <w:rsid w:val="00BD3554"/>
    <w:rsid w:val="00BD3719"/>
    <w:rsid w:val="00BD3C18"/>
    <w:rsid w:val="00BD430D"/>
    <w:rsid w:val="00BD4EF8"/>
    <w:rsid w:val="00BD4FFF"/>
    <w:rsid w:val="00BD5325"/>
    <w:rsid w:val="00BD6424"/>
    <w:rsid w:val="00BD7B4D"/>
    <w:rsid w:val="00BD7CEC"/>
    <w:rsid w:val="00BE059B"/>
    <w:rsid w:val="00BE0A7C"/>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95C"/>
    <w:rsid w:val="00BF1E89"/>
    <w:rsid w:val="00BF24C0"/>
    <w:rsid w:val="00BF25A0"/>
    <w:rsid w:val="00BF2649"/>
    <w:rsid w:val="00BF2B3B"/>
    <w:rsid w:val="00BF2D1A"/>
    <w:rsid w:val="00BF633C"/>
    <w:rsid w:val="00BF68BE"/>
    <w:rsid w:val="00BF7A8C"/>
    <w:rsid w:val="00BF7D3F"/>
    <w:rsid w:val="00C0030A"/>
    <w:rsid w:val="00C004C8"/>
    <w:rsid w:val="00C0297C"/>
    <w:rsid w:val="00C029B2"/>
    <w:rsid w:val="00C02B3E"/>
    <w:rsid w:val="00C032A8"/>
    <w:rsid w:val="00C03BB9"/>
    <w:rsid w:val="00C04487"/>
    <w:rsid w:val="00C04839"/>
    <w:rsid w:val="00C04F43"/>
    <w:rsid w:val="00C05B04"/>
    <w:rsid w:val="00C07F2D"/>
    <w:rsid w:val="00C10594"/>
    <w:rsid w:val="00C106B0"/>
    <w:rsid w:val="00C11FA2"/>
    <w:rsid w:val="00C12867"/>
    <w:rsid w:val="00C12AAF"/>
    <w:rsid w:val="00C13610"/>
    <w:rsid w:val="00C13EB8"/>
    <w:rsid w:val="00C14B7E"/>
    <w:rsid w:val="00C14C1B"/>
    <w:rsid w:val="00C15218"/>
    <w:rsid w:val="00C15387"/>
    <w:rsid w:val="00C15CCE"/>
    <w:rsid w:val="00C16DF1"/>
    <w:rsid w:val="00C17326"/>
    <w:rsid w:val="00C21726"/>
    <w:rsid w:val="00C21B95"/>
    <w:rsid w:val="00C22435"/>
    <w:rsid w:val="00C22E4F"/>
    <w:rsid w:val="00C23C1E"/>
    <w:rsid w:val="00C2409D"/>
    <w:rsid w:val="00C244FE"/>
    <w:rsid w:val="00C24966"/>
    <w:rsid w:val="00C24A4E"/>
    <w:rsid w:val="00C25464"/>
    <w:rsid w:val="00C26E07"/>
    <w:rsid w:val="00C27666"/>
    <w:rsid w:val="00C30691"/>
    <w:rsid w:val="00C3083F"/>
    <w:rsid w:val="00C30CAB"/>
    <w:rsid w:val="00C317BD"/>
    <w:rsid w:val="00C31F6E"/>
    <w:rsid w:val="00C33519"/>
    <w:rsid w:val="00C33684"/>
    <w:rsid w:val="00C33D80"/>
    <w:rsid w:val="00C340E1"/>
    <w:rsid w:val="00C35260"/>
    <w:rsid w:val="00C355D8"/>
    <w:rsid w:val="00C36613"/>
    <w:rsid w:val="00C36A1E"/>
    <w:rsid w:val="00C3755F"/>
    <w:rsid w:val="00C401DB"/>
    <w:rsid w:val="00C40F3D"/>
    <w:rsid w:val="00C42658"/>
    <w:rsid w:val="00C42AC6"/>
    <w:rsid w:val="00C42CC5"/>
    <w:rsid w:val="00C4359B"/>
    <w:rsid w:val="00C44187"/>
    <w:rsid w:val="00C453CA"/>
    <w:rsid w:val="00C50251"/>
    <w:rsid w:val="00C52410"/>
    <w:rsid w:val="00C528DE"/>
    <w:rsid w:val="00C52D52"/>
    <w:rsid w:val="00C52F79"/>
    <w:rsid w:val="00C52FFB"/>
    <w:rsid w:val="00C541DF"/>
    <w:rsid w:val="00C551F2"/>
    <w:rsid w:val="00C55BB0"/>
    <w:rsid w:val="00C563DA"/>
    <w:rsid w:val="00C56F93"/>
    <w:rsid w:val="00C6058A"/>
    <w:rsid w:val="00C61D7F"/>
    <w:rsid w:val="00C63CE5"/>
    <w:rsid w:val="00C644E8"/>
    <w:rsid w:val="00C64F2A"/>
    <w:rsid w:val="00C67F18"/>
    <w:rsid w:val="00C70692"/>
    <w:rsid w:val="00C709C9"/>
    <w:rsid w:val="00C74624"/>
    <w:rsid w:val="00C7467C"/>
    <w:rsid w:val="00C7477A"/>
    <w:rsid w:val="00C74F5A"/>
    <w:rsid w:val="00C815DE"/>
    <w:rsid w:val="00C82706"/>
    <w:rsid w:val="00C82A59"/>
    <w:rsid w:val="00C82A62"/>
    <w:rsid w:val="00C82CFF"/>
    <w:rsid w:val="00C83B74"/>
    <w:rsid w:val="00C83EBC"/>
    <w:rsid w:val="00C848D9"/>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0FD7"/>
    <w:rsid w:val="00CA13B1"/>
    <w:rsid w:val="00CA2945"/>
    <w:rsid w:val="00CA2DE9"/>
    <w:rsid w:val="00CA2E69"/>
    <w:rsid w:val="00CA302F"/>
    <w:rsid w:val="00CA3B94"/>
    <w:rsid w:val="00CA5485"/>
    <w:rsid w:val="00CA60AE"/>
    <w:rsid w:val="00CA6A76"/>
    <w:rsid w:val="00CA6C74"/>
    <w:rsid w:val="00CA7707"/>
    <w:rsid w:val="00CB0D81"/>
    <w:rsid w:val="00CB0EF7"/>
    <w:rsid w:val="00CB1348"/>
    <w:rsid w:val="00CB14C6"/>
    <w:rsid w:val="00CB2C07"/>
    <w:rsid w:val="00CB399B"/>
    <w:rsid w:val="00CB3D0B"/>
    <w:rsid w:val="00CB4611"/>
    <w:rsid w:val="00CB5CC5"/>
    <w:rsid w:val="00CB5D8C"/>
    <w:rsid w:val="00CB6128"/>
    <w:rsid w:val="00CB63E6"/>
    <w:rsid w:val="00CB78CF"/>
    <w:rsid w:val="00CB7F3D"/>
    <w:rsid w:val="00CC1086"/>
    <w:rsid w:val="00CC1A1D"/>
    <w:rsid w:val="00CC1C33"/>
    <w:rsid w:val="00CC283E"/>
    <w:rsid w:val="00CC2DD1"/>
    <w:rsid w:val="00CC2DFE"/>
    <w:rsid w:val="00CC44E1"/>
    <w:rsid w:val="00CC52F1"/>
    <w:rsid w:val="00CC59CB"/>
    <w:rsid w:val="00CC7471"/>
    <w:rsid w:val="00CC7632"/>
    <w:rsid w:val="00CC792A"/>
    <w:rsid w:val="00CD1DA9"/>
    <w:rsid w:val="00CD1DF0"/>
    <w:rsid w:val="00CD24C7"/>
    <w:rsid w:val="00CD2FE3"/>
    <w:rsid w:val="00CD317E"/>
    <w:rsid w:val="00CD3F8F"/>
    <w:rsid w:val="00CD4B5B"/>
    <w:rsid w:val="00CD5262"/>
    <w:rsid w:val="00CD5893"/>
    <w:rsid w:val="00CD63BE"/>
    <w:rsid w:val="00CD68B7"/>
    <w:rsid w:val="00CD7B3C"/>
    <w:rsid w:val="00CD7D80"/>
    <w:rsid w:val="00CD7E5D"/>
    <w:rsid w:val="00CE0E1C"/>
    <w:rsid w:val="00CE1B42"/>
    <w:rsid w:val="00CE1FE5"/>
    <w:rsid w:val="00CE5873"/>
    <w:rsid w:val="00CF015B"/>
    <w:rsid w:val="00CF13F0"/>
    <w:rsid w:val="00CF14E7"/>
    <w:rsid w:val="00CF25E2"/>
    <w:rsid w:val="00CF2A66"/>
    <w:rsid w:val="00CF367A"/>
    <w:rsid w:val="00CF3F9F"/>
    <w:rsid w:val="00CF57D1"/>
    <w:rsid w:val="00CF6310"/>
    <w:rsid w:val="00D0135E"/>
    <w:rsid w:val="00D0163C"/>
    <w:rsid w:val="00D02360"/>
    <w:rsid w:val="00D02D1B"/>
    <w:rsid w:val="00D0431C"/>
    <w:rsid w:val="00D0446D"/>
    <w:rsid w:val="00D04DEE"/>
    <w:rsid w:val="00D050E6"/>
    <w:rsid w:val="00D05AD2"/>
    <w:rsid w:val="00D07407"/>
    <w:rsid w:val="00D07D6B"/>
    <w:rsid w:val="00D1025E"/>
    <w:rsid w:val="00D105A4"/>
    <w:rsid w:val="00D10F62"/>
    <w:rsid w:val="00D111F9"/>
    <w:rsid w:val="00D125AA"/>
    <w:rsid w:val="00D14746"/>
    <w:rsid w:val="00D151B2"/>
    <w:rsid w:val="00D15DF7"/>
    <w:rsid w:val="00D17B1D"/>
    <w:rsid w:val="00D20D36"/>
    <w:rsid w:val="00D21405"/>
    <w:rsid w:val="00D223AB"/>
    <w:rsid w:val="00D2280F"/>
    <w:rsid w:val="00D22E25"/>
    <w:rsid w:val="00D232BB"/>
    <w:rsid w:val="00D23658"/>
    <w:rsid w:val="00D26858"/>
    <w:rsid w:val="00D27975"/>
    <w:rsid w:val="00D27FF6"/>
    <w:rsid w:val="00D31089"/>
    <w:rsid w:val="00D31935"/>
    <w:rsid w:val="00D3279E"/>
    <w:rsid w:val="00D337A8"/>
    <w:rsid w:val="00D339E7"/>
    <w:rsid w:val="00D353B6"/>
    <w:rsid w:val="00D35FE5"/>
    <w:rsid w:val="00D406B6"/>
    <w:rsid w:val="00D412A4"/>
    <w:rsid w:val="00D41EF1"/>
    <w:rsid w:val="00D4305F"/>
    <w:rsid w:val="00D440B2"/>
    <w:rsid w:val="00D4437B"/>
    <w:rsid w:val="00D44AD4"/>
    <w:rsid w:val="00D44B57"/>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442"/>
    <w:rsid w:val="00D62EAF"/>
    <w:rsid w:val="00D636DA"/>
    <w:rsid w:val="00D63869"/>
    <w:rsid w:val="00D639C6"/>
    <w:rsid w:val="00D64D25"/>
    <w:rsid w:val="00D65B4D"/>
    <w:rsid w:val="00D65EE9"/>
    <w:rsid w:val="00D65F2F"/>
    <w:rsid w:val="00D65FAE"/>
    <w:rsid w:val="00D66059"/>
    <w:rsid w:val="00D66254"/>
    <w:rsid w:val="00D6684E"/>
    <w:rsid w:val="00D66A92"/>
    <w:rsid w:val="00D672B7"/>
    <w:rsid w:val="00D676A6"/>
    <w:rsid w:val="00D679E0"/>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20D"/>
    <w:rsid w:val="00D825C6"/>
    <w:rsid w:val="00D82A4B"/>
    <w:rsid w:val="00D8319C"/>
    <w:rsid w:val="00D83907"/>
    <w:rsid w:val="00D84222"/>
    <w:rsid w:val="00D84933"/>
    <w:rsid w:val="00D84AC0"/>
    <w:rsid w:val="00D85693"/>
    <w:rsid w:val="00D86B02"/>
    <w:rsid w:val="00D87332"/>
    <w:rsid w:val="00D907AE"/>
    <w:rsid w:val="00D90BBC"/>
    <w:rsid w:val="00D90CB1"/>
    <w:rsid w:val="00D9157D"/>
    <w:rsid w:val="00D92432"/>
    <w:rsid w:val="00D930B8"/>
    <w:rsid w:val="00D93747"/>
    <w:rsid w:val="00D93934"/>
    <w:rsid w:val="00D943C4"/>
    <w:rsid w:val="00D94546"/>
    <w:rsid w:val="00D962EA"/>
    <w:rsid w:val="00D9647E"/>
    <w:rsid w:val="00D96BBA"/>
    <w:rsid w:val="00D972FB"/>
    <w:rsid w:val="00D975BC"/>
    <w:rsid w:val="00D977D0"/>
    <w:rsid w:val="00D97E54"/>
    <w:rsid w:val="00DA034F"/>
    <w:rsid w:val="00DA038E"/>
    <w:rsid w:val="00DA0719"/>
    <w:rsid w:val="00DA1500"/>
    <w:rsid w:val="00DA2EE4"/>
    <w:rsid w:val="00DA3582"/>
    <w:rsid w:val="00DA44F1"/>
    <w:rsid w:val="00DA5769"/>
    <w:rsid w:val="00DA59B1"/>
    <w:rsid w:val="00DA6B0D"/>
    <w:rsid w:val="00DA6C9B"/>
    <w:rsid w:val="00DB004E"/>
    <w:rsid w:val="00DB0259"/>
    <w:rsid w:val="00DB07B7"/>
    <w:rsid w:val="00DB1161"/>
    <w:rsid w:val="00DB2061"/>
    <w:rsid w:val="00DB31AB"/>
    <w:rsid w:val="00DB38F6"/>
    <w:rsid w:val="00DB3B2C"/>
    <w:rsid w:val="00DB3E90"/>
    <w:rsid w:val="00DB42DB"/>
    <w:rsid w:val="00DB45FF"/>
    <w:rsid w:val="00DB5C1B"/>
    <w:rsid w:val="00DB618B"/>
    <w:rsid w:val="00DB6941"/>
    <w:rsid w:val="00DB6A22"/>
    <w:rsid w:val="00DB6B1B"/>
    <w:rsid w:val="00DB74D1"/>
    <w:rsid w:val="00DB79FD"/>
    <w:rsid w:val="00DB7C9F"/>
    <w:rsid w:val="00DC0303"/>
    <w:rsid w:val="00DC15D6"/>
    <w:rsid w:val="00DC568C"/>
    <w:rsid w:val="00DC6BB7"/>
    <w:rsid w:val="00DC7212"/>
    <w:rsid w:val="00DC767F"/>
    <w:rsid w:val="00DC7C2F"/>
    <w:rsid w:val="00DD0EB9"/>
    <w:rsid w:val="00DD100F"/>
    <w:rsid w:val="00DD10BA"/>
    <w:rsid w:val="00DD2A3A"/>
    <w:rsid w:val="00DD399E"/>
    <w:rsid w:val="00DD3B2C"/>
    <w:rsid w:val="00DD49F6"/>
    <w:rsid w:val="00DD49F9"/>
    <w:rsid w:val="00DD579C"/>
    <w:rsid w:val="00DD57EA"/>
    <w:rsid w:val="00DD619A"/>
    <w:rsid w:val="00DD6585"/>
    <w:rsid w:val="00DD7501"/>
    <w:rsid w:val="00DE080A"/>
    <w:rsid w:val="00DE28AA"/>
    <w:rsid w:val="00DE2D17"/>
    <w:rsid w:val="00DE339F"/>
    <w:rsid w:val="00DE47B3"/>
    <w:rsid w:val="00DE4AD6"/>
    <w:rsid w:val="00DE4C84"/>
    <w:rsid w:val="00DE4FFC"/>
    <w:rsid w:val="00DE507C"/>
    <w:rsid w:val="00DE5865"/>
    <w:rsid w:val="00DE6C1C"/>
    <w:rsid w:val="00DE70DF"/>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073D6"/>
    <w:rsid w:val="00E10961"/>
    <w:rsid w:val="00E10A94"/>
    <w:rsid w:val="00E10DA6"/>
    <w:rsid w:val="00E1161A"/>
    <w:rsid w:val="00E1262C"/>
    <w:rsid w:val="00E134F2"/>
    <w:rsid w:val="00E13B23"/>
    <w:rsid w:val="00E13D5D"/>
    <w:rsid w:val="00E1411A"/>
    <w:rsid w:val="00E14E3A"/>
    <w:rsid w:val="00E15F22"/>
    <w:rsid w:val="00E16007"/>
    <w:rsid w:val="00E16886"/>
    <w:rsid w:val="00E16CD5"/>
    <w:rsid w:val="00E1745E"/>
    <w:rsid w:val="00E17518"/>
    <w:rsid w:val="00E200AF"/>
    <w:rsid w:val="00E20477"/>
    <w:rsid w:val="00E20C21"/>
    <w:rsid w:val="00E219C8"/>
    <w:rsid w:val="00E236DD"/>
    <w:rsid w:val="00E2468C"/>
    <w:rsid w:val="00E263F0"/>
    <w:rsid w:val="00E2678C"/>
    <w:rsid w:val="00E272C2"/>
    <w:rsid w:val="00E27A71"/>
    <w:rsid w:val="00E306EA"/>
    <w:rsid w:val="00E31AE0"/>
    <w:rsid w:val="00E32312"/>
    <w:rsid w:val="00E336EB"/>
    <w:rsid w:val="00E34BC7"/>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E2B"/>
    <w:rsid w:val="00E72F11"/>
    <w:rsid w:val="00E73448"/>
    <w:rsid w:val="00E7391A"/>
    <w:rsid w:val="00E73A4D"/>
    <w:rsid w:val="00E7425D"/>
    <w:rsid w:val="00E74427"/>
    <w:rsid w:val="00E75EDD"/>
    <w:rsid w:val="00E762CD"/>
    <w:rsid w:val="00E76583"/>
    <w:rsid w:val="00E76C43"/>
    <w:rsid w:val="00E76C6E"/>
    <w:rsid w:val="00E772FD"/>
    <w:rsid w:val="00E77C4C"/>
    <w:rsid w:val="00E77FDD"/>
    <w:rsid w:val="00E80B91"/>
    <w:rsid w:val="00E81713"/>
    <w:rsid w:val="00E828D0"/>
    <w:rsid w:val="00E8388E"/>
    <w:rsid w:val="00E839FF"/>
    <w:rsid w:val="00E83C96"/>
    <w:rsid w:val="00E85B33"/>
    <w:rsid w:val="00E85C89"/>
    <w:rsid w:val="00E87735"/>
    <w:rsid w:val="00E901BB"/>
    <w:rsid w:val="00E90722"/>
    <w:rsid w:val="00E907F2"/>
    <w:rsid w:val="00E91409"/>
    <w:rsid w:val="00E9144C"/>
    <w:rsid w:val="00E91A3E"/>
    <w:rsid w:val="00E9218C"/>
    <w:rsid w:val="00E93691"/>
    <w:rsid w:val="00E9485F"/>
    <w:rsid w:val="00E94AB9"/>
    <w:rsid w:val="00E94D95"/>
    <w:rsid w:val="00E94F0D"/>
    <w:rsid w:val="00E95C81"/>
    <w:rsid w:val="00E95F24"/>
    <w:rsid w:val="00E96F5F"/>
    <w:rsid w:val="00E97492"/>
    <w:rsid w:val="00E979D5"/>
    <w:rsid w:val="00E97F21"/>
    <w:rsid w:val="00EA011C"/>
    <w:rsid w:val="00EA0698"/>
    <w:rsid w:val="00EA199E"/>
    <w:rsid w:val="00EA245F"/>
    <w:rsid w:val="00EA47C5"/>
    <w:rsid w:val="00EA556F"/>
    <w:rsid w:val="00EA5D7A"/>
    <w:rsid w:val="00EA717E"/>
    <w:rsid w:val="00EA7B76"/>
    <w:rsid w:val="00EB00A1"/>
    <w:rsid w:val="00EB16BB"/>
    <w:rsid w:val="00EB2906"/>
    <w:rsid w:val="00EB2AA1"/>
    <w:rsid w:val="00EB36B4"/>
    <w:rsid w:val="00EB407E"/>
    <w:rsid w:val="00EB416C"/>
    <w:rsid w:val="00EB5750"/>
    <w:rsid w:val="00EB5BB6"/>
    <w:rsid w:val="00EB62FE"/>
    <w:rsid w:val="00EB65B8"/>
    <w:rsid w:val="00EB6AAA"/>
    <w:rsid w:val="00EC042E"/>
    <w:rsid w:val="00EC0E29"/>
    <w:rsid w:val="00EC2250"/>
    <w:rsid w:val="00EC3831"/>
    <w:rsid w:val="00EC3992"/>
    <w:rsid w:val="00EC3E8A"/>
    <w:rsid w:val="00EC4018"/>
    <w:rsid w:val="00EC4AF7"/>
    <w:rsid w:val="00EC6633"/>
    <w:rsid w:val="00EC6FA8"/>
    <w:rsid w:val="00EC7F56"/>
    <w:rsid w:val="00ED0068"/>
    <w:rsid w:val="00ED1207"/>
    <w:rsid w:val="00ED16E4"/>
    <w:rsid w:val="00ED1E18"/>
    <w:rsid w:val="00ED3A04"/>
    <w:rsid w:val="00ED41C5"/>
    <w:rsid w:val="00ED430E"/>
    <w:rsid w:val="00ED5AEA"/>
    <w:rsid w:val="00ED5D2E"/>
    <w:rsid w:val="00ED6E6A"/>
    <w:rsid w:val="00ED774F"/>
    <w:rsid w:val="00EE007A"/>
    <w:rsid w:val="00EE0AA7"/>
    <w:rsid w:val="00EE1290"/>
    <w:rsid w:val="00EE1CCC"/>
    <w:rsid w:val="00EE22D4"/>
    <w:rsid w:val="00EE32C8"/>
    <w:rsid w:val="00EE36DF"/>
    <w:rsid w:val="00EE37F1"/>
    <w:rsid w:val="00EE3A66"/>
    <w:rsid w:val="00EE3B18"/>
    <w:rsid w:val="00EE3FE8"/>
    <w:rsid w:val="00EE44EE"/>
    <w:rsid w:val="00EE47B8"/>
    <w:rsid w:val="00EE4CDF"/>
    <w:rsid w:val="00EE4FEA"/>
    <w:rsid w:val="00EE7112"/>
    <w:rsid w:val="00EE7CD1"/>
    <w:rsid w:val="00EF10D6"/>
    <w:rsid w:val="00EF2866"/>
    <w:rsid w:val="00EF2F4F"/>
    <w:rsid w:val="00EF327A"/>
    <w:rsid w:val="00EF3550"/>
    <w:rsid w:val="00EF3A25"/>
    <w:rsid w:val="00EF3B7E"/>
    <w:rsid w:val="00EF3DF0"/>
    <w:rsid w:val="00EF44AB"/>
    <w:rsid w:val="00EF472C"/>
    <w:rsid w:val="00EF48BD"/>
    <w:rsid w:val="00EF5973"/>
    <w:rsid w:val="00EF5B80"/>
    <w:rsid w:val="00EF5C44"/>
    <w:rsid w:val="00EF5DD4"/>
    <w:rsid w:val="00EF7122"/>
    <w:rsid w:val="00EF7421"/>
    <w:rsid w:val="00EF7523"/>
    <w:rsid w:val="00EF7804"/>
    <w:rsid w:val="00EF786D"/>
    <w:rsid w:val="00EF7C2C"/>
    <w:rsid w:val="00F0266D"/>
    <w:rsid w:val="00F02D82"/>
    <w:rsid w:val="00F02FFD"/>
    <w:rsid w:val="00F045A5"/>
    <w:rsid w:val="00F05178"/>
    <w:rsid w:val="00F0581A"/>
    <w:rsid w:val="00F06B34"/>
    <w:rsid w:val="00F0730A"/>
    <w:rsid w:val="00F07CFC"/>
    <w:rsid w:val="00F10055"/>
    <w:rsid w:val="00F152AE"/>
    <w:rsid w:val="00F153D1"/>
    <w:rsid w:val="00F16C58"/>
    <w:rsid w:val="00F21166"/>
    <w:rsid w:val="00F212D3"/>
    <w:rsid w:val="00F222D3"/>
    <w:rsid w:val="00F23E23"/>
    <w:rsid w:val="00F24293"/>
    <w:rsid w:val="00F2434F"/>
    <w:rsid w:val="00F24529"/>
    <w:rsid w:val="00F24602"/>
    <w:rsid w:val="00F25295"/>
    <w:rsid w:val="00F26307"/>
    <w:rsid w:val="00F26705"/>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8AA"/>
    <w:rsid w:val="00F41F01"/>
    <w:rsid w:val="00F43977"/>
    <w:rsid w:val="00F43C57"/>
    <w:rsid w:val="00F44A8E"/>
    <w:rsid w:val="00F4539A"/>
    <w:rsid w:val="00F45939"/>
    <w:rsid w:val="00F45E29"/>
    <w:rsid w:val="00F474E0"/>
    <w:rsid w:val="00F5101A"/>
    <w:rsid w:val="00F51088"/>
    <w:rsid w:val="00F51FAD"/>
    <w:rsid w:val="00F5270A"/>
    <w:rsid w:val="00F52A24"/>
    <w:rsid w:val="00F52DB8"/>
    <w:rsid w:val="00F53C49"/>
    <w:rsid w:val="00F5453D"/>
    <w:rsid w:val="00F547E8"/>
    <w:rsid w:val="00F56CDD"/>
    <w:rsid w:val="00F600AE"/>
    <w:rsid w:val="00F6017C"/>
    <w:rsid w:val="00F60DD4"/>
    <w:rsid w:val="00F60E55"/>
    <w:rsid w:val="00F60F22"/>
    <w:rsid w:val="00F618CC"/>
    <w:rsid w:val="00F61B4E"/>
    <w:rsid w:val="00F61C58"/>
    <w:rsid w:val="00F62C37"/>
    <w:rsid w:val="00F63529"/>
    <w:rsid w:val="00F63DD9"/>
    <w:rsid w:val="00F7048F"/>
    <w:rsid w:val="00F70C15"/>
    <w:rsid w:val="00F70D0E"/>
    <w:rsid w:val="00F71527"/>
    <w:rsid w:val="00F725EF"/>
    <w:rsid w:val="00F73787"/>
    <w:rsid w:val="00F739A9"/>
    <w:rsid w:val="00F73ACC"/>
    <w:rsid w:val="00F7554D"/>
    <w:rsid w:val="00F75BE5"/>
    <w:rsid w:val="00F761B1"/>
    <w:rsid w:val="00F76FB9"/>
    <w:rsid w:val="00F7762A"/>
    <w:rsid w:val="00F80D78"/>
    <w:rsid w:val="00F8157C"/>
    <w:rsid w:val="00F81E5B"/>
    <w:rsid w:val="00F83260"/>
    <w:rsid w:val="00F843EB"/>
    <w:rsid w:val="00F8506D"/>
    <w:rsid w:val="00F8556F"/>
    <w:rsid w:val="00F85CD9"/>
    <w:rsid w:val="00F85FA8"/>
    <w:rsid w:val="00F8657F"/>
    <w:rsid w:val="00F86815"/>
    <w:rsid w:val="00F86B59"/>
    <w:rsid w:val="00F86BA5"/>
    <w:rsid w:val="00F90F53"/>
    <w:rsid w:val="00F91278"/>
    <w:rsid w:val="00F91DBE"/>
    <w:rsid w:val="00F926F1"/>
    <w:rsid w:val="00F92993"/>
    <w:rsid w:val="00F92EA8"/>
    <w:rsid w:val="00F93369"/>
    <w:rsid w:val="00F94D0C"/>
    <w:rsid w:val="00F95C68"/>
    <w:rsid w:val="00F95E65"/>
    <w:rsid w:val="00F963CF"/>
    <w:rsid w:val="00F9756F"/>
    <w:rsid w:val="00F97B9C"/>
    <w:rsid w:val="00FA00CE"/>
    <w:rsid w:val="00FA035F"/>
    <w:rsid w:val="00FA0906"/>
    <w:rsid w:val="00FA10C5"/>
    <w:rsid w:val="00FA225D"/>
    <w:rsid w:val="00FA39D5"/>
    <w:rsid w:val="00FA3A2E"/>
    <w:rsid w:val="00FA42AD"/>
    <w:rsid w:val="00FA4651"/>
    <w:rsid w:val="00FA5133"/>
    <w:rsid w:val="00FA5AFF"/>
    <w:rsid w:val="00FA6989"/>
    <w:rsid w:val="00FB0BF3"/>
    <w:rsid w:val="00FB1584"/>
    <w:rsid w:val="00FB15C2"/>
    <w:rsid w:val="00FB2D74"/>
    <w:rsid w:val="00FB307C"/>
    <w:rsid w:val="00FB45D0"/>
    <w:rsid w:val="00FB5456"/>
    <w:rsid w:val="00FB5507"/>
    <w:rsid w:val="00FB5BF0"/>
    <w:rsid w:val="00FB6031"/>
    <w:rsid w:val="00FB6A47"/>
    <w:rsid w:val="00FB7851"/>
    <w:rsid w:val="00FB7BE3"/>
    <w:rsid w:val="00FC077E"/>
    <w:rsid w:val="00FC0DA8"/>
    <w:rsid w:val="00FC1508"/>
    <w:rsid w:val="00FC1A14"/>
    <w:rsid w:val="00FC2C17"/>
    <w:rsid w:val="00FC33B5"/>
    <w:rsid w:val="00FC564E"/>
    <w:rsid w:val="00FC72E9"/>
    <w:rsid w:val="00FD17DB"/>
    <w:rsid w:val="00FD2D1F"/>
    <w:rsid w:val="00FD38CD"/>
    <w:rsid w:val="00FD3A31"/>
    <w:rsid w:val="00FD3F6A"/>
    <w:rsid w:val="00FD3FEC"/>
    <w:rsid w:val="00FD4746"/>
    <w:rsid w:val="00FD54D7"/>
    <w:rsid w:val="00FD5C28"/>
    <w:rsid w:val="00FD60AE"/>
    <w:rsid w:val="00FD6C0E"/>
    <w:rsid w:val="00FD6DD0"/>
    <w:rsid w:val="00FD7857"/>
    <w:rsid w:val="00FE08A0"/>
    <w:rsid w:val="00FE0B88"/>
    <w:rsid w:val="00FE1A3B"/>
    <w:rsid w:val="00FE1A3E"/>
    <w:rsid w:val="00FE2F51"/>
    <w:rsid w:val="00FE3619"/>
    <w:rsid w:val="00FE3DB8"/>
    <w:rsid w:val="00FE4024"/>
    <w:rsid w:val="00FE423B"/>
    <w:rsid w:val="00FE46B3"/>
    <w:rsid w:val="00FE48FC"/>
    <w:rsid w:val="00FE565F"/>
    <w:rsid w:val="00FE5B21"/>
    <w:rsid w:val="00FE640A"/>
    <w:rsid w:val="00FE7B9C"/>
    <w:rsid w:val="00FE7BFD"/>
    <w:rsid w:val="00FE7FF6"/>
    <w:rsid w:val="00FF06C0"/>
    <w:rsid w:val="00FF0DE4"/>
    <w:rsid w:val="00FF1767"/>
    <w:rsid w:val="00FF20F3"/>
    <w:rsid w:val="00FF2978"/>
    <w:rsid w:val="00FF3E1E"/>
    <w:rsid w:val="00FF3E21"/>
    <w:rsid w:val="00FF4908"/>
    <w:rsid w:val="00FF4B3D"/>
    <w:rsid w:val="00FF65DC"/>
    <w:rsid w:val="00FF6799"/>
    <w:rsid w:val="00FF6E8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E3DE1"/>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styleId="TOCHeading">
    <w:name w:val="TOC Heading"/>
    <w:basedOn w:val="Heading1"/>
    <w:next w:val="Normal"/>
    <w:uiPriority w:val="39"/>
    <w:semiHidden/>
    <w:unhideWhenUsed/>
    <w:qFormat/>
    <w:rsid w:val="00622D5F"/>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ListParagraph">
    <w:name w:val="List Paragraph"/>
    <w:basedOn w:val="Normal"/>
    <w:uiPriority w:val="34"/>
    <w:qFormat/>
    <w:rsid w:val="009635B3"/>
    <w:pPr>
      <w:ind w:left="720"/>
      <w:contextualSpacing/>
    </w:pPr>
  </w:style>
  <w:style w:type="paragraph" w:customStyle="1" w:styleId="Default">
    <w:name w:val="Default"/>
    <w:rsid w:val="00DB42D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4588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7">
      <w:bodyDiv w:val="1"/>
      <w:marLeft w:val="0"/>
      <w:marRight w:val="0"/>
      <w:marTop w:val="0"/>
      <w:marBottom w:val="0"/>
      <w:divBdr>
        <w:top w:val="none" w:sz="0" w:space="0" w:color="auto"/>
        <w:left w:val="none" w:sz="0" w:space="0" w:color="auto"/>
        <w:bottom w:val="none" w:sz="0" w:space="0" w:color="auto"/>
        <w:right w:val="none" w:sz="0" w:space="0" w:color="auto"/>
      </w:divBdr>
    </w:div>
    <w:div w:id="420956462">
      <w:bodyDiv w:val="1"/>
      <w:marLeft w:val="0"/>
      <w:marRight w:val="0"/>
      <w:marTop w:val="0"/>
      <w:marBottom w:val="0"/>
      <w:divBdr>
        <w:top w:val="none" w:sz="0" w:space="0" w:color="auto"/>
        <w:left w:val="none" w:sz="0" w:space="0" w:color="auto"/>
        <w:bottom w:val="none" w:sz="0" w:space="0" w:color="auto"/>
        <w:right w:val="none" w:sz="0" w:space="0" w:color="auto"/>
      </w:divBdr>
    </w:div>
    <w:div w:id="17452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E33EF1AD-0AC6-428B-8C1D-5327448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27</Pages>
  <Words>6041</Words>
  <Characters>36615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Melissa Aguilar</cp:lastModifiedBy>
  <cp:revision>168</cp:revision>
  <dcterms:created xsi:type="dcterms:W3CDTF">2024-08-09T16:03:00Z</dcterms:created>
  <dcterms:modified xsi:type="dcterms:W3CDTF">2024-08-15T17:36:00Z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3170a2607770561d201f5328e288473e98e4ede7e963485929b67727a96e8ae4</vt:lpwstr>
  </property>
</Properties>
</file>